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2FA7B2" w14:textId="77777777" w:rsidR="00F14DB8" w:rsidRPr="00245623" w:rsidRDefault="00355D5A" w:rsidP="00F14DB8">
      <w:pPr>
        <w:spacing w:line="360" w:lineRule="auto"/>
        <w:jc w:val="both"/>
        <w:rPr>
          <w:b/>
          <w:sz w:val="28"/>
          <w:szCs w:val="28"/>
          <w:shd w:val="clear" w:color="auto" w:fill="FFFFFF"/>
          <w:lang w:val="en-US"/>
        </w:rPr>
      </w:pPr>
      <w:r w:rsidRPr="00245623">
        <w:rPr>
          <w:b/>
          <w:sz w:val="28"/>
          <w:szCs w:val="28"/>
          <w:shd w:val="clear" w:color="auto" w:fill="FFFFFF"/>
          <w:lang w:val="en-US"/>
        </w:rPr>
        <w:t>Inflammation-driven g</w:t>
      </w:r>
      <w:r w:rsidR="00F14DB8" w:rsidRPr="00245623">
        <w:rPr>
          <w:b/>
          <w:sz w:val="28"/>
          <w:szCs w:val="28"/>
          <w:shd w:val="clear" w:color="auto" w:fill="FFFFFF"/>
          <w:lang w:val="en-US"/>
        </w:rPr>
        <w:t xml:space="preserve">lial alterations in </w:t>
      </w:r>
      <w:r w:rsidR="006C441E" w:rsidRPr="00245623">
        <w:rPr>
          <w:b/>
          <w:sz w:val="28"/>
          <w:szCs w:val="28"/>
          <w:shd w:val="clear" w:color="auto" w:fill="FFFFFF"/>
          <w:lang w:val="en-US"/>
        </w:rPr>
        <w:t>the c</w:t>
      </w:r>
      <w:r w:rsidR="00F14DB8" w:rsidRPr="00245623">
        <w:rPr>
          <w:b/>
          <w:sz w:val="28"/>
          <w:szCs w:val="28"/>
          <w:shd w:val="clear" w:color="auto" w:fill="FFFFFF"/>
          <w:lang w:val="en-US"/>
        </w:rPr>
        <w:t xml:space="preserve">uprizone mouse model </w:t>
      </w:r>
      <w:r w:rsidR="001C2A18" w:rsidRPr="00245623">
        <w:rPr>
          <w:b/>
          <w:sz w:val="28"/>
          <w:szCs w:val="28"/>
          <w:shd w:val="clear" w:color="auto" w:fill="FFFFFF"/>
          <w:lang w:val="en-US"/>
        </w:rPr>
        <w:t>probed</w:t>
      </w:r>
      <w:r w:rsidR="00F14DB8" w:rsidRPr="00245623">
        <w:rPr>
          <w:b/>
          <w:sz w:val="28"/>
          <w:szCs w:val="28"/>
          <w:shd w:val="clear" w:color="auto" w:fill="FFFFFF"/>
          <w:lang w:val="en-US"/>
        </w:rPr>
        <w:t xml:space="preserve"> </w:t>
      </w:r>
      <w:r w:rsidR="00787C76" w:rsidRPr="00245623">
        <w:rPr>
          <w:b/>
          <w:sz w:val="28"/>
          <w:szCs w:val="28"/>
          <w:shd w:val="clear" w:color="auto" w:fill="FFFFFF"/>
          <w:lang w:val="en-US"/>
        </w:rPr>
        <w:t>with</w:t>
      </w:r>
      <w:r w:rsidR="00F14DB8" w:rsidRPr="00245623">
        <w:rPr>
          <w:b/>
          <w:sz w:val="28"/>
          <w:szCs w:val="28"/>
          <w:shd w:val="clear" w:color="auto" w:fill="FFFFFF"/>
          <w:lang w:val="en-US"/>
        </w:rPr>
        <w:t xml:space="preserve"> diffusion-weighted</w:t>
      </w:r>
      <w:r w:rsidR="006C441E" w:rsidRPr="00245623">
        <w:rPr>
          <w:b/>
          <w:sz w:val="28"/>
          <w:szCs w:val="28"/>
          <w:shd w:val="clear" w:color="auto" w:fill="FFFFFF"/>
          <w:lang w:val="en-US"/>
        </w:rPr>
        <w:t xml:space="preserve"> magnetic resonance spectroscopy</w:t>
      </w:r>
      <w:r w:rsidR="00F14DB8" w:rsidRPr="00245623">
        <w:rPr>
          <w:b/>
          <w:sz w:val="28"/>
          <w:szCs w:val="28"/>
          <w:shd w:val="clear" w:color="auto" w:fill="FFFFFF"/>
          <w:lang w:val="en-US"/>
        </w:rPr>
        <w:t xml:space="preserve"> at 11.7 T</w:t>
      </w:r>
    </w:p>
    <w:p w14:paraId="4A411D7F" w14:textId="77777777" w:rsidR="00F14DB8" w:rsidRPr="00245623" w:rsidRDefault="00F14DB8" w:rsidP="00F14DB8">
      <w:pPr>
        <w:jc w:val="both"/>
        <w:rPr>
          <w:b/>
          <w:bCs/>
          <w:color w:val="000000" w:themeColor="text1"/>
          <w:sz w:val="28"/>
          <w:lang w:val="en-US"/>
        </w:rPr>
      </w:pPr>
    </w:p>
    <w:p w14:paraId="3F157611" w14:textId="22AAAA12" w:rsidR="00F14DB8" w:rsidRPr="00245623" w:rsidRDefault="00F14DB8" w:rsidP="00F14DB8">
      <w:pPr>
        <w:spacing w:line="360" w:lineRule="auto"/>
        <w:jc w:val="both"/>
        <w:rPr>
          <w:bCs/>
          <w:color w:val="000000" w:themeColor="text1"/>
          <w:lang w:val="en-US"/>
        </w:rPr>
      </w:pPr>
      <w:r w:rsidRPr="00245623">
        <w:rPr>
          <w:bCs/>
          <w:color w:val="000000" w:themeColor="text1"/>
          <w:lang w:val="en-US"/>
        </w:rPr>
        <w:t xml:space="preserve">Guglielmo </w:t>
      </w:r>
      <w:proofErr w:type="spellStart"/>
      <w:r w:rsidRPr="00245623">
        <w:rPr>
          <w:bCs/>
          <w:color w:val="000000" w:themeColor="text1"/>
          <w:lang w:val="en-US"/>
        </w:rPr>
        <w:t>Genovese</w:t>
      </w:r>
      <w:r w:rsidRPr="00245623">
        <w:rPr>
          <w:bCs/>
          <w:color w:val="000000" w:themeColor="text1"/>
          <w:vertAlign w:val="superscript"/>
          <w:lang w:val="en-US"/>
        </w:rPr>
        <w:t>a,b</w:t>
      </w:r>
      <w:proofErr w:type="spellEnd"/>
      <w:r w:rsidRPr="00245623">
        <w:rPr>
          <w:bCs/>
          <w:color w:val="000000" w:themeColor="text1"/>
          <w:lang w:val="en-US"/>
        </w:rPr>
        <w:t xml:space="preserve">, </w:t>
      </w:r>
      <w:r w:rsidRPr="00245623">
        <w:rPr>
          <w:color w:val="000000" w:themeColor="text1"/>
          <w:lang w:val="en-US"/>
        </w:rPr>
        <w:t xml:space="preserve">Marco </w:t>
      </w:r>
      <w:proofErr w:type="spellStart"/>
      <w:r w:rsidRPr="00245623">
        <w:rPr>
          <w:color w:val="000000" w:themeColor="text1"/>
          <w:lang w:val="en-US"/>
        </w:rPr>
        <w:t>Palombo</w:t>
      </w:r>
      <w:r w:rsidRPr="00245623">
        <w:rPr>
          <w:color w:val="000000" w:themeColor="text1"/>
          <w:vertAlign w:val="superscript"/>
          <w:lang w:val="en-US"/>
        </w:rPr>
        <w:t>c</w:t>
      </w:r>
      <w:proofErr w:type="spellEnd"/>
      <w:r w:rsidRPr="00245623">
        <w:rPr>
          <w:color w:val="000000" w:themeColor="text1"/>
          <w:lang w:val="en-US"/>
        </w:rPr>
        <w:t xml:space="preserve">, Mathieu </w:t>
      </w:r>
      <w:r w:rsidR="00FB51A5" w:rsidRPr="00245623">
        <w:rPr>
          <w:color w:val="000000" w:themeColor="text1"/>
          <w:lang w:val="en-US"/>
        </w:rPr>
        <w:t xml:space="preserve">D. </w:t>
      </w:r>
      <w:proofErr w:type="spellStart"/>
      <w:r w:rsidRPr="00245623">
        <w:rPr>
          <w:color w:val="000000" w:themeColor="text1"/>
          <w:lang w:val="en-US"/>
        </w:rPr>
        <w:t>Santin</w:t>
      </w:r>
      <w:r w:rsidRPr="00245623">
        <w:rPr>
          <w:color w:val="000000" w:themeColor="text1"/>
          <w:vertAlign w:val="superscript"/>
          <w:lang w:val="en-US"/>
        </w:rPr>
        <w:t>a,b</w:t>
      </w:r>
      <w:proofErr w:type="spellEnd"/>
      <w:r w:rsidRPr="00245623">
        <w:rPr>
          <w:color w:val="000000" w:themeColor="text1"/>
          <w:lang w:val="en-US"/>
        </w:rPr>
        <w:t xml:space="preserve">, Julien </w:t>
      </w:r>
      <w:proofErr w:type="spellStart"/>
      <w:r w:rsidRPr="00245623">
        <w:rPr>
          <w:color w:val="000000" w:themeColor="text1"/>
          <w:lang w:val="en-US"/>
        </w:rPr>
        <w:t>Valette</w:t>
      </w:r>
      <w:r w:rsidRPr="00245623">
        <w:rPr>
          <w:color w:val="000000" w:themeColor="text1"/>
          <w:vertAlign w:val="superscript"/>
          <w:lang w:val="en-US"/>
        </w:rPr>
        <w:t>d</w:t>
      </w:r>
      <w:r w:rsidR="005C259F" w:rsidRPr="00245623">
        <w:rPr>
          <w:color w:val="000000" w:themeColor="text1"/>
          <w:vertAlign w:val="superscript"/>
          <w:lang w:val="en-US"/>
        </w:rPr>
        <w:t>,</w:t>
      </w:r>
      <w:r w:rsidR="0039677B" w:rsidRPr="00245623">
        <w:rPr>
          <w:color w:val="000000" w:themeColor="text1"/>
          <w:vertAlign w:val="superscript"/>
          <w:lang w:val="en-US"/>
        </w:rPr>
        <w:t>e</w:t>
      </w:r>
      <w:proofErr w:type="spellEnd"/>
      <w:r w:rsidRPr="00245623">
        <w:rPr>
          <w:color w:val="000000" w:themeColor="text1"/>
          <w:lang w:val="en-US"/>
        </w:rPr>
        <w:t xml:space="preserve">, </w:t>
      </w:r>
      <w:proofErr w:type="spellStart"/>
      <w:r w:rsidRPr="00245623">
        <w:rPr>
          <w:lang w:val="en-US"/>
        </w:rPr>
        <w:t>Clémence</w:t>
      </w:r>
      <w:proofErr w:type="spellEnd"/>
      <w:r w:rsidRPr="00245623">
        <w:rPr>
          <w:lang w:val="en-US"/>
        </w:rPr>
        <w:t xml:space="preserve"> </w:t>
      </w:r>
      <w:proofErr w:type="spellStart"/>
      <w:r w:rsidRPr="00245623">
        <w:rPr>
          <w:lang w:val="en-US"/>
        </w:rPr>
        <w:t>Ligneul</w:t>
      </w:r>
      <w:r w:rsidR="0039677B" w:rsidRPr="00245623">
        <w:rPr>
          <w:vertAlign w:val="superscript"/>
          <w:lang w:val="en-US"/>
        </w:rPr>
        <w:t>f</w:t>
      </w:r>
      <w:proofErr w:type="spellEnd"/>
      <w:r w:rsidRPr="00245623">
        <w:rPr>
          <w:color w:val="000000" w:themeColor="text1"/>
          <w:lang w:val="en-US"/>
        </w:rPr>
        <w:t xml:space="preserve">, Marie-Stéphane </w:t>
      </w:r>
      <w:proofErr w:type="spellStart"/>
      <w:r w:rsidRPr="00245623">
        <w:rPr>
          <w:color w:val="000000" w:themeColor="text1"/>
          <w:lang w:val="en-US"/>
        </w:rPr>
        <w:t>Aigrot</w:t>
      </w:r>
      <w:r w:rsidRPr="00245623">
        <w:rPr>
          <w:color w:val="000000" w:themeColor="text1"/>
          <w:vertAlign w:val="superscript"/>
          <w:lang w:val="en-US"/>
        </w:rPr>
        <w:t>b,</w:t>
      </w:r>
      <w:r w:rsidR="0039677B" w:rsidRPr="00245623">
        <w:rPr>
          <w:color w:val="000000" w:themeColor="text1"/>
          <w:vertAlign w:val="superscript"/>
          <w:lang w:val="en-US"/>
        </w:rPr>
        <w:t>g</w:t>
      </w:r>
      <w:proofErr w:type="spellEnd"/>
      <w:r w:rsidRPr="00245623">
        <w:rPr>
          <w:color w:val="000000" w:themeColor="text1"/>
          <w:lang w:val="en-US"/>
        </w:rPr>
        <w:t xml:space="preserve">, </w:t>
      </w:r>
      <w:proofErr w:type="spellStart"/>
      <w:r w:rsidRPr="00245623">
        <w:rPr>
          <w:color w:val="000000" w:themeColor="text1"/>
          <w:lang w:val="en-US"/>
        </w:rPr>
        <w:t>Nasteho</w:t>
      </w:r>
      <w:proofErr w:type="spellEnd"/>
      <w:r w:rsidRPr="00245623">
        <w:rPr>
          <w:color w:val="000000" w:themeColor="text1"/>
          <w:lang w:val="en-US"/>
        </w:rPr>
        <w:t xml:space="preserve"> </w:t>
      </w:r>
      <w:proofErr w:type="spellStart"/>
      <w:r w:rsidRPr="00245623">
        <w:rPr>
          <w:color w:val="000000" w:themeColor="text1"/>
          <w:lang w:val="en-US"/>
        </w:rPr>
        <w:t>Abdoulkader</w:t>
      </w:r>
      <w:r w:rsidRPr="00245623">
        <w:rPr>
          <w:color w:val="000000" w:themeColor="text1"/>
          <w:vertAlign w:val="superscript"/>
          <w:lang w:val="en-US"/>
        </w:rPr>
        <w:t>a</w:t>
      </w:r>
      <w:proofErr w:type="spellEnd"/>
      <w:r w:rsidRPr="00245623">
        <w:rPr>
          <w:color w:val="000000" w:themeColor="text1"/>
          <w:lang w:val="en-US"/>
        </w:rPr>
        <w:t xml:space="preserve">, Dominique </w:t>
      </w:r>
      <w:proofErr w:type="spellStart"/>
      <w:r w:rsidRPr="00245623">
        <w:rPr>
          <w:color w:val="000000" w:themeColor="text1"/>
          <w:lang w:val="en-US"/>
        </w:rPr>
        <w:t>Langui</w:t>
      </w:r>
      <w:r w:rsidRPr="00245623">
        <w:rPr>
          <w:color w:val="000000" w:themeColor="text1"/>
          <w:vertAlign w:val="superscript"/>
          <w:lang w:val="en-US"/>
        </w:rPr>
        <w:t>b,</w:t>
      </w:r>
      <w:r w:rsidR="0039677B" w:rsidRPr="00245623">
        <w:rPr>
          <w:color w:val="000000" w:themeColor="text1"/>
          <w:vertAlign w:val="superscript"/>
          <w:lang w:val="en-US"/>
        </w:rPr>
        <w:t>g</w:t>
      </w:r>
      <w:proofErr w:type="spellEnd"/>
      <w:r w:rsidRPr="00245623">
        <w:rPr>
          <w:color w:val="000000" w:themeColor="text1"/>
          <w:lang w:val="en-US"/>
        </w:rPr>
        <w:t xml:space="preserve">, </w:t>
      </w:r>
      <w:proofErr w:type="spellStart"/>
      <w:r w:rsidRPr="00245623">
        <w:rPr>
          <w:color w:val="000000" w:themeColor="text1"/>
          <w:lang w:val="en-US"/>
        </w:rPr>
        <w:t>Aymeric</w:t>
      </w:r>
      <w:proofErr w:type="spellEnd"/>
      <w:r w:rsidRPr="00245623">
        <w:rPr>
          <w:color w:val="000000" w:themeColor="text1"/>
          <w:lang w:val="en-US"/>
        </w:rPr>
        <w:t xml:space="preserve"> </w:t>
      </w:r>
      <w:proofErr w:type="spellStart"/>
      <w:r w:rsidRPr="00245623">
        <w:rPr>
          <w:color w:val="000000" w:themeColor="text1"/>
          <w:lang w:val="en-US"/>
        </w:rPr>
        <w:t>Millecamps</w:t>
      </w:r>
      <w:r w:rsidR="0039677B" w:rsidRPr="00245623">
        <w:rPr>
          <w:color w:val="000000" w:themeColor="text1"/>
          <w:vertAlign w:val="superscript"/>
          <w:lang w:val="en-US"/>
        </w:rPr>
        <w:t>g</w:t>
      </w:r>
      <w:proofErr w:type="spellEnd"/>
      <w:r w:rsidRPr="00245623">
        <w:rPr>
          <w:color w:val="000000" w:themeColor="text1"/>
          <w:lang w:val="en-US"/>
        </w:rPr>
        <w:t xml:space="preserve">, Anne Baron-Van </w:t>
      </w:r>
      <w:proofErr w:type="spellStart"/>
      <w:r w:rsidRPr="00245623">
        <w:rPr>
          <w:color w:val="000000" w:themeColor="text1"/>
          <w:lang w:val="en-US"/>
        </w:rPr>
        <w:t>Evercooren</w:t>
      </w:r>
      <w:r w:rsidRPr="00245623">
        <w:rPr>
          <w:color w:val="000000" w:themeColor="text1"/>
          <w:vertAlign w:val="superscript"/>
          <w:lang w:val="en-US"/>
        </w:rPr>
        <w:t>b</w:t>
      </w:r>
      <w:proofErr w:type="spellEnd"/>
      <w:r w:rsidRPr="00245623">
        <w:rPr>
          <w:color w:val="000000" w:themeColor="text1"/>
          <w:lang w:val="en-US"/>
        </w:rPr>
        <w:t xml:space="preserve">, Bruno </w:t>
      </w:r>
      <w:proofErr w:type="spellStart"/>
      <w:r w:rsidRPr="00245623">
        <w:rPr>
          <w:color w:val="000000" w:themeColor="text1"/>
          <w:lang w:val="en-US"/>
        </w:rPr>
        <w:t>Stankoff</w:t>
      </w:r>
      <w:r w:rsidRPr="00245623">
        <w:rPr>
          <w:color w:val="000000" w:themeColor="text1"/>
          <w:vertAlign w:val="superscript"/>
          <w:lang w:val="en-US"/>
        </w:rPr>
        <w:t>b</w:t>
      </w:r>
      <w:proofErr w:type="spellEnd"/>
      <w:r w:rsidRPr="00245623">
        <w:rPr>
          <w:color w:val="000000" w:themeColor="text1"/>
          <w:lang w:val="en-US"/>
        </w:rPr>
        <w:t xml:space="preserve">, Stéphane </w:t>
      </w:r>
      <w:proofErr w:type="spellStart"/>
      <w:r w:rsidRPr="00245623">
        <w:rPr>
          <w:color w:val="000000" w:themeColor="text1"/>
          <w:lang w:val="en-US"/>
        </w:rPr>
        <w:t>Lehericy</w:t>
      </w:r>
      <w:r w:rsidRPr="00245623">
        <w:rPr>
          <w:color w:val="000000" w:themeColor="text1"/>
          <w:vertAlign w:val="superscript"/>
          <w:lang w:val="en-US"/>
        </w:rPr>
        <w:t>a,b</w:t>
      </w:r>
      <w:proofErr w:type="spellEnd"/>
      <w:r w:rsidRPr="00245623">
        <w:rPr>
          <w:bCs/>
          <w:color w:val="000000" w:themeColor="text1"/>
          <w:lang w:val="en-US"/>
        </w:rPr>
        <w:t xml:space="preserve">, Alexandra </w:t>
      </w:r>
      <w:proofErr w:type="spellStart"/>
      <w:r w:rsidRPr="00245623">
        <w:rPr>
          <w:bCs/>
          <w:color w:val="000000" w:themeColor="text1"/>
          <w:lang w:val="en-US"/>
        </w:rPr>
        <w:t>Petiet</w:t>
      </w:r>
      <w:proofErr w:type="spellEnd"/>
      <w:r w:rsidRPr="00245623">
        <w:rPr>
          <w:bCs/>
          <w:color w:val="000000" w:themeColor="text1"/>
          <w:lang w:val="en-US"/>
        </w:rPr>
        <w:t>*</w:t>
      </w:r>
      <w:proofErr w:type="spellStart"/>
      <w:r w:rsidRPr="00245623">
        <w:rPr>
          <w:bCs/>
          <w:color w:val="000000" w:themeColor="text1"/>
          <w:vertAlign w:val="superscript"/>
          <w:lang w:val="en-US"/>
        </w:rPr>
        <w:t>a,b</w:t>
      </w:r>
      <w:proofErr w:type="spellEnd"/>
      <w:r w:rsidRPr="00245623">
        <w:rPr>
          <w:bCs/>
          <w:color w:val="000000" w:themeColor="text1"/>
          <w:lang w:val="en-US"/>
        </w:rPr>
        <w:t xml:space="preserve"> and Francesca </w:t>
      </w:r>
      <w:proofErr w:type="spellStart"/>
      <w:r w:rsidRPr="00245623">
        <w:rPr>
          <w:bCs/>
          <w:color w:val="000000" w:themeColor="text1"/>
          <w:lang w:val="en-US"/>
        </w:rPr>
        <w:t>Branzoli</w:t>
      </w:r>
      <w:proofErr w:type="spellEnd"/>
      <w:r w:rsidRPr="00245623">
        <w:rPr>
          <w:bCs/>
          <w:color w:val="000000" w:themeColor="text1"/>
          <w:lang w:val="en-US"/>
        </w:rPr>
        <w:t>*</w:t>
      </w:r>
      <w:proofErr w:type="spellStart"/>
      <w:r w:rsidRPr="00245623">
        <w:rPr>
          <w:bCs/>
          <w:color w:val="000000" w:themeColor="text1"/>
          <w:vertAlign w:val="superscript"/>
          <w:lang w:val="en-US"/>
        </w:rPr>
        <w:t>a,b</w:t>
      </w:r>
      <w:proofErr w:type="spellEnd"/>
    </w:p>
    <w:p w14:paraId="355F375A" w14:textId="77777777" w:rsidR="00F14DB8" w:rsidRPr="00245623" w:rsidRDefault="00F14DB8" w:rsidP="00F14DB8">
      <w:pPr>
        <w:spacing w:line="360" w:lineRule="auto"/>
        <w:jc w:val="both"/>
        <w:rPr>
          <w:b/>
          <w:bCs/>
          <w:color w:val="000000" w:themeColor="text1"/>
          <w:sz w:val="28"/>
          <w:lang w:val="en-US"/>
        </w:rPr>
      </w:pPr>
    </w:p>
    <w:p w14:paraId="20DB54FC" w14:textId="2C4E6252" w:rsidR="00F14DB8" w:rsidRPr="00245623" w:rsidRDefault="00F14DB8" w:rsidP="00F14DB8">
      <w:pPr>
        <w:spacing w:line="360" w:lineRule="auto"/>
        <w:rPr>
          <w:color w:val="222222"/>
          <w:shd w:val="clear" w:color="auto" w:fill="FFFFFF"/>
        </w:rPr>
      </w:pPr>
      <w:proofErr w:type="gramStart"/>
      <w:r w:rsidRPr="00245623">
        <w:rPr>
          <w:color w:val="222222"/>
          <w:shd w:val="clear" w:color="auto" w:fill="FFFFFF"/>
          <w:vertAlign w:val="superscript"/>
        </w:rPr>
        <w:t>a</w:t>
      </w:r>
      <w:proofErr w:type="gramEnd"/>
      <w:r w:rsidR="004C60F5" w:rsidRPr="00245623">
        <w:rPr>
          <w:color w:val="222222"/>
          <w:shd w:val="clear" w:color="auto" w:fill="FFFFFF"/>
          <w:vertAlign w:val="superscript"/>
        </w:rPr>
        <w:t xml:space="preserve"> </w:t>
      </w:r>
      <w:r w:rsidR="004C60F5" w:rsidRPr="00245623">
        <w:rPr>
          <w:color w:val="222222"/>
          <w:shd w:val="clear" w:color="auto" w:fill="FFFFFF"/>
        </w:rPr>
        <w:t>Paris Brain Institute (</w:t>
      </w:r>
      <w:r w:rsidRPr="00245623">
        <w:rPr>
          <w:color w:val="222222"/>
          <w:shd w:val="clear" w:color="auto" w:fill="FFFFFF"/>
        </w:rPr>
        <w:t xml:space="preserve">Institut du Cerveau </w:t>
      </w:r>
      <w:r w:rsidR="004C60F5" w:rsidRPr="00245623">
        <w:rPr>
          <w:color w:val="222222"/>
          <w:shd w:val="clear" w:color="auto" w:fill="FFFFFF"/>
        </w:rPr>
        <w:t xml:space="preserve">– </w:t>
      </w:r>
      <w:r w:rsidRPr="00245623">
        <w:rPr>
          <w:color w:val="222222"/>
          <w:shd w:val="clear" w:color="auto" w:fill="FFFFFF"/>
        </w:rPr>
        <w:t>ICM</w:t>
      </w:r>
      <w:r w:rsidR="004C60F5" w:rsidRPr="00245623">
        <w:rPr>
          <w:color w:val="222222"/>
          <w:shd w:val="clear" w:color="auto" w:fill="FFFFFF"/>
        </w:rPr>
        <w:t>)</w:t>
      </w:r>
      <w:r w:rsidRPr="00245623">
        <w:rPr>
          <w:color w:val="222222"/>
          <w:shd w:val="clear" w:color="auto" w:fill="FFFFFF"/>
        </w:rPr>
        <w:t>, Cen</w:t>
      </w:r>
      <w:r w:rsidR="00382700" w:rsidRPr="00245623">
        <w:rPr>
          <w:color w:val="222222"/>
          <w:shd w:val="clear" w:color="auto" w:fill="FFFFFF"/>
        </w:rPr>
        <w:t xml:space="preserve">ter for Neuroimaging </w:t>
      </w:r>
      <w:proofErr w:type="spellStart"/>
      <w:r w:rsidR="00382700" w:rsidRPr="00245623">
        <w:rPr>
          <w:color w:val="222222"/>
          <w:shd w:val="clear" w:color="auto" w:fill="FFFFFF"/>
        </w:rPr>
        <w:t>Research</w:t>
      </w:r>
      <w:proofErr w:type="spellEnd"/>
      <w:r w:rsidR="00382700" w:rsidRPr="00245623">
        <w:rPr>
          <w:color w:val="222222"/>
          <w:shd w:val="clear" w:color="auto" w:fill="FFFFFF"/>
        </w:rPr>
        <w:t xml:space="preserve"> </w:t>
      </w:r>
      <w:r w:rsidRPr="00245623">
        <w:rPr>
          <w:color w:val="222222"/>
          <w:shd w:val="clear" w:color="auto" w:fill="FFFFFF"/>
        </w:rPr>
        <w:t>- CENIR</w:t>
      </w:r>
      <w:r w:rsidR="000559A8" w:rsidRPr="00245623">
        <w:rPr>
          <w:color w:val="222222"/>
          <w:shd w:val="clear" w:color="auto" w:fill="FFFFFF"/>
        </w:rPr>
        <w:t>,</w:t>
      </w:r>
      <w:r w:rsidRPr="00245623">
        <w:rPr>
          <w:color w:val="222222"/>
          <w:shd w:val="clear" w:color="auto" w:fill="FFFFFF"/>
        </w:rPr>
        <w:t xml:space="preserve"> </w:t>
      </w:r>
      <w:r w:rsidRPr="00245623">
        <w:t xml:space="preserve">F-75013, </w:t>
      </w:r>
      <w:r w:rsidRPr="00245623">
        <w:rPr>
          <w:color w:val="222222"/>
          <w:shd w:val="clear" w:color="auto" w:fill="FFFFFF"/>
        </w:rPr>
        <w:t>Paris, France</w:t>
      </w:r>
    </w:p>
    <w:p w14:paraId="6831D6AA" w14:textId="4DBFDDF8" w:rsidR="007F0C49" w:rsidRPr="00245623" w:rsidRDefault="00F14DB8" w:rsidP="007F0C49">
      <w:pPr>
        <w:pStyle w:val="Paragraph"/>
        <w:spacing w:line="360" w:lineRule="auto"/>
        <w:ind w:firstLine="0"/>
        <w:rPr>
          <w:lang w:val="fr-FR"/>
        </w:rPr>
      </w:pPr>
      <w:proofErr w:type="gramStart"/>
      <w:r w:rsidRPr="00245623">
        <w:rPr>
          <w:vertAlign w:val="superscript"/>
          <w:lang w:val="fr-FR"/>
        </w:rPr>
        <w:t>b</w:t>
      </w:r>
      <w:proofErr w:type="gramEnd"/>
      <w:r w:rsidR="00A30EC1" w:rsidRPr="00245623">
        <w:rPr>
          <w:lang w:val="fr-FR"/>
        </w:rPr>
        <w:t xml:space="preserve"> </w:t>
      </w:r>
      <w:proofErr w:type="spellStart"/>
      <w:r w:rsidR="004C60F5" w:rsidRPr="00245623">
        <w:rPr>
          <w:lang w:val="fr-FR"/>
        </w:rPr>
        <w:t>Hopital</w:t>
      </w:r>
      <w:proofErr w:type="spellEnd"/>
      <w:r w:rsidR="00A30EC1" w:rsidRPr="00245623">
        <w:rPr>
          <w:lang w:val="fr-FR"/>
        </w:rPr>
        <w:t xml:space="preserve"> Pitié-Salpêtrière, </w:t>
      </w:r>
      <w:r w:rsidR="0093755F" w:rsidRPr="00245623">
        <w:rPr>
          <w:lang w:val="fr-FR"/>
        </w:rPr>
        <w:t xml:space="preserve">ICM, </w:t>
      </w:r>
      <w:r w:rsidRPr="00245623">
        <w:rPr>
          <w:lang w:val="fr-FR"/>
        </w:rPr>
        <w:t xml:space="preserve">Sorbonne Université, Inserm U 1127, CNRS UMR 7225, F-75013, Paris, </w:t>
      </w:r>
      <w:r w:rsidR="007F0C49" w:rsidRPr="00245623">
        <w:rPr>
          <w:lang w:val="fr-FR"/>
        </w:rPr>
        <w:t>France</w:t>
      </w:r>
    </w:p>
    <w:p w14:paraId="6017BD69" w14:textId="01DEA547" w:rsidR="00F14DB8" w:rsidRPr="00245623" w:rsidRDefault="004C60F5" w:rsidP="007F0C49">
      <w:pPr>
        <w:spacing w:line="360" w:lineRule="auto"/>
        <w:jc w:val="both"/>
        <w:rPr>
          <w:color w:val="000000" w:themeColor="text1"/>
          <w:lang w:val="en-US"/>
        </w:rPr>
      </w:pPr>
      <w:r w:rsidRPr="00245623">
        <w:rPr>
          <w:vertAlign w:val="superscript"/>
          <w:lang w:val="en-US"/>
        </w:rPr>
        <w:t>c</w:t>
      </w:r>
      <w:r w:rsidRPr="00245623">
        <w:rPr>
          <w:color w:val="000000" w:themeColor="text1"/>
          <w:lang w:val="en-US"/>
        </w:rPr>
        <w:t xml:space="preserve"> C</w:t>
      </w:r>
      <w:r w:rsidR="00F14DB8" w:rsidRPr="00245623">
        <w:rPr>
          <w:color w:val="000000" w:themeColor="text1"/>
          <w:lang w:val="en-US"/>
        </w:rPr>
        <w:t>entre for Medical Image Computing</w:t>
      </w:r>
      <w:r w:rsidR="00444CA5" w:rsidRPr="00245623">
        <w:rPr>
          <w:color w:val="000000" w:themeColor="text1"/>
          <w:lang w:val="en-US"/>
        </w:rPr>
        <w:t xml:space="preserve"> and Department of Computer Science</w:t>
      </w:r>
      <w:r w:rsidR="00F14DB8" w:rsidRPr="00245623">
        <w:rPr>
          <w:color w:val="000000" w:themeColor="text1"/>
          <w:lang w:val="en-US"/>
        </w:rPr>
        <w:t>, University College London, London, United Kingdom</w:t>
      </w:r>
    </w:p>
    <w:p w14:paraId="4ADFBE5C" w14:textId="77777777" w:rsidR="0039677B" w:rsidRPr="00245623" w:rsidRDefault="004C60F5" w:rsidP="007F0C49">
      <w:pPr>
        <w:spacing w:line="360" w:lineRule="auto"/>
        <w:jc w:val="both"/>
        <w:rPr>
          <w:color w:val="000000" w:themeColor="text1"/>
        </w:rPr>
      </w:pPr>
      <w:proofErr w:type="gramStart"/>
      <w:r w:rsidRPr="00245623">
        <w:rPr>
          <w:vertAlign w:val="superscript"/>
        </w:rPr>
        <w:t>d</w:t>
      </w:r>
      <w:proofErr w:type="gramEnd"/>
      <w:r w:rsidR="005C259F" w:rsidRPr="00245623">
        <w:rPr>
          <w:color w:val="737373"/>
        </w:rPr>
        <w:t xml:space="preserve"> </w:t>
      </w:r>
      <w:r w:rsidR="005C259F" w:rsidRPr="00245623">
        <w:rPr>
          <w:color w:val="000000" w:themeColor="text1"/>
        </w:rPr>
        <w:t>Commissariat à l’</w:t>
      </w:r>
      <w:proofErr w:type="spellStart"/>
      <w:r w:rsidR="005C259F" w:rsidRPr="00245623">
        <w:rPr>
          <w:color w:val="000000" w:themeColor="text1"/>
        </w:rPr>
        <w:t>Energie</w:t>
      </w:r>
      <w:proofErr w:type="spellEnd"/>
      <w:r w:rsidR="005C259F" w:rsidRPr="00245623">
        <w:rPr>
          <w:color w:val="000000" w:themeColor="text1"/>
        </w:rPr>
        <w:t xml:space="preserve"> Atomique et aux </w:t>
      </w:r>
      <w:proofErr w:type="spellStart"/>
      <w:r w:rsidR="005C259F" w:rsidRPr="00245623">
        <w:rPr>
          <w:color w:val="000000" w:themeColor="text1"/>
        </w:rPr>
        <w:t>Energies</w:t>
      </w:r>
      <w:proofErr w:type="spellEnd"/>
      <w:r w:rsidR="005C259F" w:rsidRPr="00245623">
        <w:rPr>
          <w:color w:val="000000" w:themeColor="text1"/>
        </w:rPr>
        <w:t xml:space="preserve"> Alternatives (CEA), </w:t>
      </w:r>
      <w:proofErr w:type="spellStart"/>
      <w:r w:rsidR="005C259F" w:rsidRPr="00245623">
        <w:rPr>
          <w:color w:val="000000" w:themeColor="text1"/>
        </w:rPr>
        <w:t>MIRCen</w:t>
      </w:r>
      <w:proofErr w:type="spellEnd"/>
      <w:r w:rsidR="005C259F" w:rsidRPr="00245623">
        <w:rPr>
          <w:color w:val="000000" w:themeColor="text1"/>
        </w:rPr>
        <w:t>, F-92260, Fontenay-aux-Roses, France</w:t>
      </w:r>
      <w:r w:rsidR="005C259F" w:rsidRPr="00245623" w:rsidDel="005C259F">
        <w:rPr>
          <w:color w:val="000000" w:themeColor="text1"/>
        </w:rPr>
        <w:t xml:space="preserve"> </w:t>
      </w:r>
    </w:p>
    <w:p w14:paraId="0EC51289" w14:textId="56059289" w:rsidR="005C259F" w:rsidRPr="00245623" w:rsidRDefault="0039677B" w:rsidP="007F0C49">
      <w:pPr>
        <w:spacing w:line="360" w:lineRule="auto"/>
        <w:jc w:val="both"/>
        <w:rPr>
          <w:color w:val="000000" w:themeColor="text1"/>
        </w:rPr>
      </w:pPr>
      <w:proofErr w:type="gramStart"/>
      <w:r w:rsidRPr="00245623">
        <w:rPr>
          <w:color w:val="000000" w:themeColor="text1"/>
          <w:vertAlign w:val="superscript"/>
        </w:rPr>
        <w:t>e</w:t>
      </w:r>
      <w:proofErr w:type="gramEnd"/>
      <w:r w:rsidR="005C259F" w:rsidRPr="00245623">
        <w:rPr>
          <w:color w:val="000000" w:themeColor="text1"/>
        </w:rPr>
        <w:t xml:space="preserve"> </w:t>
      </w:r>
      <w:proofErr w:type="spellStart"/>
      <w:r w:rsidR="005C259F" w:rsidRPr="00245623">
        <w:rPr>
          <w:color w:val="000000" w:themeColor="text1"/>
        </w:rPr>
        <w:t>Neurodegenerative</w:t>
      </w:r>
      <w:proofErr w:type="spellEnd"/>
      <w:r w:rsidR="005C259F" w:rsidRPr="00245623">
        <w:rPr>
          <w:color w:val="000000" w:themeColor="text1"/>
        </w:rPr>
        <w:t xml:space="preserve"> </w:t>
      </w:r>
      <w:proofErr w:type="spellStart"/>
      <w:r w:rsidR="005C259F" w:rsidRPr="00245623">
        <w:rPr>
          <w:color w:val="000000" w:themeColor="text1"/>
        </w:rPr>
        <w:t>Diseases</w:t>
      </w:r>
      <w:proofErr w:type="spellEnd"/>
      <w:r w:rsidR="005C259F" w:rsidRPr="00245623">
        <w:rPr>
          <w:color w:val="000000" w:themeColor="text1"/>
        </w:rPr>
        <w:t xml:space="preserve"> </w:t>
      </w:r>
      <w:proofErr w:type="spellStart"/>
      <w:r w:rsidR="005C259F" w:rsidRPr="00245623">
        <w:rPr>
          <w:color w:val="000000" w:themeColor="text1"/>
        </w:rPr>
        <w:t>Laboratory</w:t>
      </w:r>
      <w:proofErr w:type="spellEnd"/>
      <w:r w:rsidR="005C259F" w:rsidRPr="00245623">
        <w:rPr>
          <w:color w:val="000000" w:themeColor="text1"/>
        </w:rPr>
        <w:t>, UMR9199, CEA, CNRS, Université Paris Sud, Université Paris-Saclay, F-92260, Fontenay-aux-Roses, France</w:t>
      </w:r>
    </w:p>
    <w:p w14:paraId="3964D5BB" w14:textId="32A86673" w:rsidR="00F14DB8" w:rsidRPr="00245623" w:rsidRDefault="0039677B" w:rsidP="0039677B">
      <w:pPr>
        <w:spacing w:line="360" w:lineRule="auto"/>
        <w:rPr>
          <w:lang w:val="en-US"/>
        </w:rPr>
      </w:pPr>
      <w:r w:rsidRPr="00245623">
        <w:rPr>
          <w:color w:val="000000"/>
          <w:vertAlign w:val="superscript"/>
          <w:lang w:val="en-US"/>
        </w:rPr>
        <w:t>f</w:t>
      </w:r>
      <w:r w:rsidR="007F0C49" w:rsidRPr="00245623">
        <w:rPr>
          <w:iCs/>
          <w:color w:val="000000"/>
          <w:lang w:val="en-US"/>
        </w:rPr>
        <w:t xml:space="preserve"> </w:t>
      </w:r>
      <w:proofErr w:type="spellStart"/>
      <w:r w:rsidR="007F0C49" w:rsidRPr="00245623">
        <w:rPr>
          <w:color w:val="000000"/>
          <w:lang w:val="en-US"/>
        </w:rPr>
        <w:t>Wellcome</w:t>
      </w:r>
      <w:proofErr w:type="spellEnd"/>
      <w:r w:rsidR="007F0C49" w:rsidRPr="00245623">
        <w:rPr>
          <w:color w:val="000000"/>
          <w:lang w:val="en-US"/>
        </w:rPr>
        <w:t xml:space="preserve"> Centre for Integrative Neuroimaging, FMRIB, Nuffield Department of Clinical Neurosciences, University of Oxford, Oxford, United Kingdom</w:t>
      </w:r>
    </w:p>
    <w:p w14:paraId="6C68371B" w14:textId="24DF5090" w:rsidR="00F14DB8" w:rsidRPr="00245623" w:rsidRDefault="0039677B" w:rsidP="00F14DB8">
      <w:pPr>
        <w:spacing w:line="360" w:lineRule="auto"/>
        <w:jc w:val="both"/>
        <w:rPr>
          <w:iCs/>
          <w:color w:val="000000"/>
        </w:rPr>
      </w:pPr>
      <w:proofErr w:type="gramStart"/>
      <w:r w:rsidRPr="00245623">
        <w:rPr>
          <w:color w:val="000000"/>
          <w:vertAlign w:val="superscript"/>
        </w:rPr>
        <w:t>g</w:t>
      </w:r>
      <w:proofErr w:type="gramEnd"/>
      <w:r w:rsidR="00636975" w:rsidRPr="00245623">
        <w:rPr>
          <w:color w:val="000000"/>
          <w:vertAlign w:val="superscript"/>
        </w:rPr>
        <w:t xml:space="preserve"> </w:t>
      </w:r>
      <w:proofErr w:type="spellStart"/>
      <w:r w:rsidR="00F14DB8" w:rsidRPr="00245623">
        <w:rPr>
          <w:color w:val="000000"/>
        </w:rPr>
        <w:t>Core</w:t>
      </w:r>
      <w:proofErr w:type="spellEnd"/>
      <w:r w:rsidR="00F14DB8" w:rsidRPr="00245623">
        <w:rPr>
          <w:color w:val="000000"/>
        </w:rPr>
        <w:t xml:space="preserve"> Facility </w:t>
      </w:r>
      <w:proofErr w:type="spellStart"/>
      <w:r w:rsidR="00F14DB8" w:rsidRPr="00245623">
        <w:rPr>
          <w:color w:val="000000"/>
        </w:rPr>
        <w:t>ICM.Quant</w:t>
      </w:r>
      <w:proofErr w:type="spellEnd"/>
      <w:r w:rsidR="00F14DB8" w:rsidRPr="00245623">
        <w:rPr>
          <w:color w:val="000000"/>
        </w:rPr>
        <w:t>, </w:t>
      </w:r>
      <w:r w:rsidR="00F14DB8" w:rsidRPr="00245623">
        <w:rPr>
          <w:iCs/>
          <w:color w:val="000000"/>
        </w:rPr>
        <w:t>Institut du Cerveau - ICM</w:t>
      </w:r>
      <w:r w:rsidR="00F14DB8" w:rsidRPr="00245623">
        <w:rPr>
          <w:color w:val="000000"/>
        </w:rPr>
        <w:t>, Paris, France.</w:t>
      </w:r>
    </w:p>
    <w:p w14:paraId="0BC03A85" w14:textId="77777777" w:rsidR="00F14DB8" w:rsidRPr="00245623" w:rsidRDefault="00F14DB8" w:rsidP="00F14DB8">
      <w:pPr>
        <w:rPr>
          <w:b/>
          <w:bCs/>
          <w:color w:val="000000" w:themeColor="text1"/>
        </w:rPr>
      </w:pPr>
    </w:p>
    <w:p w14:paraId="6891A541" w14:textId="77777777" w:rsidR="00F14DB8" w:rsidRPr="00245623" w:rsidRDefault="00F14DB8" w:rsidP="00F14DB8">
      <w:pPr>
        <w:rPr>
          <w:b/>
          <w:bCs/>
          <w:color w:val="000000" w:themeColor="text1"/>
        </w:rPr>
      </w:pPr>
    </w:p>
    <w:p w14:paraId="367D9D82" w14:textId="77777777" w:rsidR="00F14DB8" w:rsidRPr="00245623" w:rsidRDefault="00A43B70" w:rsidP="00F14DB8">
      <w:pPr>
        <w:rPr>
          <w:bCs/>
          <w:color w:val="000000" w:themeColor="text1"/>
          <w:lang w:val="en-US"/>
        </w:rPr>
      </w:pPr>
      <w:r w:rsidRPr="00245623">
        <w:rPr>
          <w:bCs/>
          <w:color w:val="000000" w:themeColor="text1"/>
          <w:lang w:val="en-US"/>
        </w:rPr>
        <w:t>*The authors equally contributed to the study</w:t>
      </w:r>
    </w:p>
    <w:p w14:paraId="69F88F3A" w14:textId="0B7D4639" w:rsidR="0018370F" w:rsidRPr="00245623" w:rsidRDefault="0018370F" w:rsidP="00042A11">
      <w:pPr>
        <w:rPr>
          <w:b/>
          <w:bCs/>
          <w:color w:val="000000" w:themeColor="text1"/>
          <w:sz w:val="28"/>
          <w:lang w:val="en-US"/>
        </w:rPr>
      </w:pPr>
    </w:p>
    <w:p w14:paraId="5FFBC090" w14:textId="77777777" w:rsidR="004028FE" w:rsidRPr="00245623" w:rsidRDefault="004028FE" w:rsidP="00042A11">
      <w:pPr>
        <w:rPr>
          <w:b/>
          <w:bCs/>
          <w:color w:val="000000" w:themeColor="text1"/>
          <w:lang w:val="en-US"/>
        </w:rPr>
      </w:pPr>
    </w:p>
    <w:p w14:paraId="7F9B8ED7" w14:textId="77777777" w:rsidR="0018370F" w:rsidRPr="00245623" w:rsidRDefault="0018370F" w:rsidP="00042A11">
      <w:pPr>
        <w:rPr>
          <w:b/>
          <w:bCs/>
          <w:color w:val="000000" w:themeColor="text1"/>
          <w:lang w:val="en-US"/>
        </w:rPr>
      </w:pPr>
    </w:p>
    <w:p w14:paraId="0DC3C818" w14:textId="77777777" w:rsidR="00042A11" w:rsidRPr="00245623" w:rsidRDefault="00042A11" w:rsidP="00042A11">
      <w:pPr>
        <w:rPr>
          <w:b/>
          <w:bCs/>
          <w:color w:val="000000" w:themeColor="text1"/>
          <w:lang w:val="en-US"/>
        </w:rPr>
      </w:pPr>
      <w:r w:rsidRPr="00245623">
        <w:rPr>
          <w:b/>
          <w:bCs/>
          <w:color w:val="000000" w:themeColor="text1"/>
          <w:lang w:val="en-US"/>
        </w:rPr>
        <w:t>Corresponding author:</w:t>
      </w:r>
    </w:p>
    <w:p w14:paraId="2ADFE91B" w14:textId="77777777" w:rsidR="00042A11" w:rsidRPr="00245623" w:rsidRDefault="00042A11" w:rsidP="00042A11">
      <w:pPr>
        <w:rPr>
          <w:bCs/>
          <w:color w:val="000000" w:themeColor="text1"/>
          <w:lang w:val="en-US"/>
        </w:rPr>
      </w:pPr>
    </w:p>
    <w:p w14:paraId="6AFE86F9" w14:textId="77777777" w:rsidR="00042A11" w:rsidRPr="00245623" w:rsidRDefault="00042A11" w:rsidP="00042A11">
      <w:pPr>
        <w:rPr>
          <w:bCs/>
          <w:color w:val="000000" w:themeColor="text1"/>
          <w:lang w:val="en-US"/>
        </w:rPr>
      </w:pPr>
      <w:r w:rsidRPr="00245623">
        <w:rPr>
          <w:bCs/>
          <w:color w:val="000000" w:themeColor="text1"/>
          <w:lang w:val="en-US"/>
        </w:rPr>
        <w:t xml:space="preserve">Francesca </w:t>
      </w:r>
      <w:proofErr w:type="spellStart"/>
      <w:r w:rsidRPr="00245623">
        <w:rPr>
          <w:bCs/>
          <w:color w:val="000000" w:themeColor="text1"/>
          <w:lang w:val="en-US"/>
        </w:rPr>
        <w:t>Branzoli</w:t>
      </w:r>
      <w:proofErr w:type="spellEnd"/>
      <w:r w:rsidRPr="00245623">
        <w:rPr>
          <w:bCs/>
          <w:color w:val="000000" w:themeColor="text1"/>
          <w:lang w:val="en-US"/>
        </w:rPr>
        <w:t>, Ph.D.</w:t>
      </w:r>
    </w:p>
    <w:p w14:paraId="418CFA50" w14:textId="77777777" w:rsidR="00042A11" w:rsidRPr="00245623" w:rsidRDefault="00042A11" w:rsidP="00042A11">
      <w:pPr>
        <w:rPr>
          <w:color w:val="000000" w:themeColor="text1"/>
          <w:shd w:val="clear" w:color="auto" w:fill="FFFFFF"/>
        </w:rPr>
      </w:pPr>
      <w:r w:rsidRPr="00245623">
        <w:rPr>
          <w:color w:val="000000" w:themeColor="text1"/>
          <w:shd w:val="clear" w:color="auto" w:fill="FFFFFF"/>
        </w:rPr>
        <w:t xml:space="preserve">Institut du cerveau </w:t>
      </w:r>
      <w:proofErr w:type="gramStart"/>
      <w:r w:rsidRPr="00245623">
        <w:rPr>
          <w:color w:val="000000" w:themeColor="text1"/>
          <w:shd w:val="clear" w:color="auto" w:fill="FFFFFF"/>
        </w:rPr>
        <w:t>-  ICM</w:t>
      </w:r>
      <w:proofErr w:type="gramEnd"/>
    </w:p>
    <w:p w14:paraId="586BB2A4" w14:textId="77777777" w:rsidR="00042A11" w:rsidRPr="00245623" w:rsidRDefault="00042A11" w:rsidP="00042A11">
      <w:pPr>
        <w:rPr>
          <w:color w:val="000000" w:themeColor="text1"/>
          <w:shd w:val="clear" w:color="auto" w:fill="FFFFFF"/>
        </w:rPr>
      </w:pPr>
      <w:r w:rsidRPr="00245623">
        <w:rPr>
          <w:color w:val="000000" w:themeColor="text1"/>
          <w:shd w:val="clear" w:color="auto" w:fill="FFFFFF"/>
        </w:rPr>
        <w:t xml:space="preserve">Hôpital </w:t>
      </w:r>
      <w:proofErr w:type="spellStart"/>
      <w:r w:rsidRPr="00245623">
        <w:rPr>
          <w:color w:val="000000" w:themeColor="text1"/>
          <w:shd w:val="clear" w:color="auto" w:fill="FFFFFF"/>
        </w:rPr>
        <w:t>Pitié-Salpetrière</w:t>
      </w:r>
      <w:proofErr w:type="spellEnd"/>
    </w:p>
    <w:p w14:paraId="36B126C7" w14:textId="77777777" w:rsidR="00042A11" w:rsidRPr="00245623" w:rsidRDefault="00042A11" w:rsidP="00042A11">
      <w:pPr>
        <w:rPr>
          <w:color w:val="000000" w:themeColor="text1"/>
          <w:shd w:val="clear" w:color="auto" w:fill="FFFFFF"/>
        </w:rPr>
      </w:pPr>
      <w:r w:rsidRPr="00245623">
        <w:rPr>
          <w:color w:val="000000" w:themeColor="text1"/>
          <w:shd w:val="clear" w:color="auto" w:fill="FFFFFF"/>
        </w:rPr>
        <w:t>47 boulevard de l’Hôpital</w:t>
      </w:r>
    </w:p>
    <w:p w14:paraId="45297B08" w14:textId="77777777" w:rsidR="00042A11" w:rsidRPr="00245623" w:rsidRDefault="00042A11" w:rsidP="00042A11">
      <w:pPr>
        <w:rPr>
          <w:color w:val="000000" w:themeColor="text1"/>
          <w:shd w:val="clear" w:color="auto" w:fill="FFFFFF"/>
        </w:rPr>
      </w:pPr>
      <w:r w:rsidRPr="00245623">
        <w:rPr>
          <w:color w:val="000000" w:themeColor="text1"/>
          <w:shd w:val="clear" w:color="auto" w:fill="FFFFFF"/>
        </w:rPr>
        <w:t>CS 21414</w:t>
      </w:r>
    </w:p>
    <w:p w14:paraId="6361BA78" w14:textId="77777777" w:rsidR="00042A11" w:rsidRPr="00245623" w:rsidRDefault="00042A11" w:rsidP="00042A11">
      <w:pPr>
        <w:rPr>
          <w:bCs/>
          <w:color w:val="000000" w:themeColor="text1"/>
        </w:rPr>
      </w:pPr>
      <w:r w:rsidRPr="00245623">
        <w:rPr>
          <w:color w:val="000000" w:themeColor="text1"/>
          <w:shd w:val="clear" w:color="auto" w:fill="FFFFFF"/>
        </w:rPr>
        <w:t>75646 Paris Cedex 13</w:t>
      </w:r>
    </w:p>
    <w:p w14:paraId="373B8242" w14:textId="77777777" w:rsidR="00042A11" w:rsidRPr="00245623" w:rsidRDefault="00042A11" w:rsidP="00042A11">
      <w:pPr>
        <w:pStyle w:val="Standard"/>
        <w:spacing w:after="0" w:line="240" w:lineRule="auto"/>
        <w:rPr>
          <w:rFonts w:ascii="Times New Roman" w:hAnsi="Times New Roman" w:cs="Times New Roman"/>
          <w:bCs/>
          <w:color w:val="000000" w:themeColor="text1"/>
          <w:lang w:val="en-US"/>
        </w:rPr>
      </w:pPr>
      <w:r w:rsidRPr="00245623">
        <w:rPr>
          <w:rFonts w:ascii="Times New Roman" w:hAnsi="Times New Roman" w:cs="Times New Roman"/>
          <w:bCs/>
          <w:color w:val="000000" w:themeColor="text1"/>
          <w:lang w:val="en-US"/>
        </w:rPr>
        <w:t xml:space="preserve">Phone number: +33 (0)1 57 27 46 46 </w:t>
      </w:r>
    </w:p>
    <w:p w14:paraId="715D0770" w14:textId="77777777" w:rsidR="007F0C49" w:rsidRPr="00245623" w:rsidRDefault="00042A11" w:rsidP="00322E4D">
      <w:pPr>
        <w:pStyle w:val="Standard"/>
        <w:spacing w:line="240" w:lineRule="auto"/>
        <w:rPr>
          <w:rFonts w:ascii="Times New Roman" w:hAnsi="Times New Roman" w:cs="Times New Roman"/>
          <w:bCs/>
          <w:color w:val="000000" w:themeColor="text1"/>
          <w:lang w:val="en-US"/>
        </w:rPr>
      </w:pPr>
      <w:r w:rsidRPr="00245623">
        <w:rPr>
          <w:rFonts w:ascii="Times New Roman" w:hAnsi="Times New Roman" w:cs="Times New Roman"/>
          <w:bCs/>
          <w:color w:val="000000" w:themeColor="text1"/>
          <w:lang w:val="en-US"/>
        </w:rPr>
        <w:t xml:space="preserve">Email: francesca.branzoli@icm-institute.org </w:t>
      </w:r>
    </w:p>
    <w:p w14:paraId="035F940E" w14:textId="27FE3835" w:rsidR="003924F3" w:rsidRPr="00245623" w:rsidRDefault="003924F3" w:rsidP="00322E4D">
      <w:pPr>
        <w:pStyle w:val="Standard"/>
        <w:spacing w:line="240" w:lineRule="auto"/>
        <w:rPr>
          <w:rFonts w:ascii="Times New Roman" w:hAnsi="Times New Roman" w:cs="Times New Roman"/>
          <w:b/>
          <w:bCs/>
          <w:color w:val="000000" w:themeColor="text1"/>
          <w:lang w:val="en-US"/>
        </w:rPr>
      </w:pPr>
    </w:p>
    <w:p w14:paraId="5EBC02D6" w14:textId="55696EFF" w:rsidR="007C10C1" w:rsidRPr="00245623" w:rsidRDefault="007C10C1" w:rsidP="007C10C1">
      <w:pPr>
        <w:pStyle w:val="Standard"/>
        <w:spacing w:line="240" w:lineRule="auto"/>
        <w:rPr>
          <w:rFonts w:ascii="Times New Roman" w:hAnsi="Times New Roman" w:cs="Times New Roman"/>
          <w:b/>
          <w:bCs/>
          <w:color w:val="000000" w:themeColor="text1"/>
          <w:lang w:val="en-US"/>
        </w:rPr>
      </w:pPr>
      <w:r w:rsidRPr="00245623">
        <w:rPr>
          <w:rFonts w:ascii="Times New Roman" w:hAnsi="Times New Roman" w:cs="Times New Roman"/>
          <w:b/>
          <w:bCs/>
          <w:color w:val="000000" w:themeColor="text1"/>
          <w:lang w:val="en-US"/>
        </w:rPr>
        <w:t>Word count:</w:t>
      </w:r>
      <w:r w:rsidR="004028FE" w:rsidRPr="00245623">
        <w:rPr>
          <w:rFonts w:ascii="Times New Roman" w:hAnsi="Times New Roman" w:cs="Times New Roman"/>
          <w:b/>
          <w:bCs/>
          <w:color w:val="000000" w:themeColor="text1"/>
          <w:lang w:val="en-US"/>
        </w:rPr>
        <w:t xml:space="preserve"> 4</w:t>
      </w:r>
      <w:r w:rsidR="00F8798D" w:rsidRPr="00245623">
        <w:rPr>
          <w:rFonts w:ascii="Times New Roman" w:hAnsi="Times New Roman" w:cs="Times New Roman"/>
          <w:b/>
          <w:bCs/>
          <w:color w:val="000000" w:themeColor="text1"/>
          <w:lang w:val="en-US"/>
        </w:rPr>
        <w:t>700</w:t>
      </w:r>
    </w:p>
    <w:p w14:paraId="425FC403" w14:textId="77777777" w:rsidR="004028FE" w:rsidRPr="00245623" w:rsidRDefault="00C070CB" w:rsidP="004028FE">
      <w:pPr>
        <w:pStyle w:val="Standard"/>
        <w:spacing w:line="480" w:lineRule="auto"/>
        <w:jc w:val="both"/>
        <w:rPr>
          <w:rFonts w:ascii="Times New Roman" w:hAnsi="Times New Roman" w:cs="Times New Roman"/>
          <w:color w:val="000000" w:themeColor="text1"/>
          <w:lang w:val="en-AU"/>
        </w:rPr>
      </w:pPr>
      <w:r w:rsidRPr="00245623">
        <w:rPr>
          <w:rFonts w:ascii="Times New Roman" w:hAnsi="Times New Roman" w:cs="Times New Roman"/>
          <w:b/>
          <w:bCs/>
          <w:color w:val="000000" w:themeColor="text1"/>
          <w:lang w:val="en-US"/>
        </w:rPr>
        <w:lastRenderedPageBreak/>
        <w:t xml:space="preserve">Funding information: </w:t>
      </w:r>
      <w:r w:rsidRPr="00245623">
        <w:rPr>
          <w:rFonts w:ascii="Times New Roman" w:hAnsi="Times New Roman" w:cs="Times New Roman"/>
          <w:color w:val="000000" w:themeColor="text1"/>
          <w:lang w:val="en-US"/>
        </w:rPr>
        <w:t xml:space="preserve">The authors acknowledge the support from </w:t>
      </w:r>
      <w:r w:rsidRPr="00245623">
        <w:rPr>
          <w:rFonts w:ascii="Times New Roman" w:hAnsi="Times New Roman" w:cs="Times New Roman"/>
          <w:color w:val="000000" w:themeColor="text1"/>
          <w:lang w:val="en-AU"/>
        </w:rPr>
        <w:t xml:space="preserve">the programs 'Institut des neurosciences </w:t>
      </w:r>
      <w:proofErr w:type="spellStart"/>
      <w:r w:rsidRPr="00245623">
        <w:rPr>
          <w:rFonts w:ascii="Times New Roman" w:hAnsi="Times New Roman" w:cs="Times New Roman"/>
          <w:color w:val="000000" w:themeColor="text1"/>
          <w:lang w:val="en-AU"/>
        </w:rPr>
        <w:t>translationnelles</w:t>
      </w:r>
      <w:proofErr w:type="spellEnd"/>
      <w:r w:rsidRPr="00245623">
        <w:rPr>
          <w:rFonts w:ascii="Times New Roman" w:hAnsi="Times New Roman" w:cs="Times New Roman"/>
          <w:color w:val="000000" w:themeColor="text1"/>
          <w:lang w:val="en-AU"/>
        </w:rPr>
        <w:t xml:space="preserve">' [ANR-10-IAIHU-06] and 'Infrastructure </w:t>
      </w:r>
      <w:proofErr w:type="spellStart"/>
      <w:r w:rsidRPr="00245623">
        <w:rPr>
          <w:rFonts w:ascii="Times New Roman" w:hAnsi="Times New Roman" w:cs="Times New Roman"/>
          <w:color w:val="000000" w:themeColor="text1"/>
          <w:lang w:val="en-AU"/>
        </w:rPr>
        <w:t>d’avenir</w:t>
      </w:r>
      <w:proofErr w:type="spellEnd"/>
      <w:r w:rsidRPr="00245623">
        <w:rPr>
          <w:rFonts w:ascii="Times New Roman" w:hAnsi="Times New Roman" w:cs="Times New Roman"/>
          <w:color w:val="000000" w:themeColor="text1"/>
          <w:lang w:val="en-AU"/>
        </w:rPr>
        <w:t xml:space="preserve"> </w:t>
      </w:r>
      <w:proofErr w:type="spellStart"/>
      <w:r w:rsidRPr="00245623">
        <w:rPr>
          <w:rFonts w:ascii="Times New Roman" w:hAnsi="Times New Roman" w:cs="Times New Roman"/>
          <w:color w:val="000000" w:themeColor="text1"/>
          <w:lang w:val="en-AU"/>
        </w:rPr>
        <w:t>en</w:t>
      </w:r>
      <w:proofErr w:type="spellEnd"/>
      <w:r w:rsidRPr="00245623">
        <w:rPr>
          <w:rFonts w:ascii="Times New Roman" w:hAnsi="Times New Roman" w:cs="Times New Roman"/>
          <w:color w:val="000000" w:themeColor="text1"/>
          <w:lang w:val="en-AU"/>
        </w:rPr>
        <w:t xml:space="preserve"> </w:t>
      </w:r>
      <w:proofErr w:type="spellStart"/>
      <w:r w:rsidRPr="00245623">
        <w:rPr>
          <w:rFonts w:ascii="Times New Roman" w:hAnsi="Times New Roman" w:cs="Times New Roman"/>
          <w:color w:val="000000" w:themeColor="text1"/>
          <w:lang w:val="en-AU"/>
        </w:rPr>
        <w:t>Biologie</w:t>
      </w:r>
      <w:proofErr w:type="spellEnd"/>
      <w:r w:rsidRPr="00245623">
        <w:rPr>
          <w:rFonts w:ascii="Times New Roman" w:hAnsi="Times New Roman" w:cs="Times New Roman"/>
          <w:color w:val="000000" w:themeColor="text1"/>
          <w:lang w:val="en-AU"/>
        </w:rPr>
        <w:t xml:space="preserve"> Santé' [ANR-11-INBS-0006]. </w:t>
      </w:r>
    </w:p>
    <w:p w14:paraId="040F2D90" w14:textId="6D14647B" w:rsidR="00C070CB" w:rsidRPr="00245623" w:rsidRDefault="00C070CB" w:rsidP="004028FE">
      <w:pPr>
        <w:pStyle w:val="Standard"/>
        <w:spacing w:line="480" w:lineRule="auto"/>
        <w:jc w:val="both"/>
        <w:rPr>
          <w:rFonts w:ascii="Times New Roman" w:hAnsi="Times New Roman" w:cs="Times New Roman"/>
          <w:color w:val="000000" w:themeColor="text1"/>
          <w:lang w:val="en-AU"/>
        </w:rPr>
      </w:pPr>
      <w:r w:rsidRPr="00245623">
        <w:rPr>
          <w:rFonts w:ascii="Times New Roman" w:hAnsi="Times New Roman" w:cs="Times New Roman"/>
          <w:lang w:val="en-US"/>
        </w:rPr>
        <w:t>MP is supported by EPSRC [EP/N018702-1] and UKRI Future Leaders Fellowship [MR/T020296/1].</w:t>
      </w:r>
    </w:p>
    <w:p w14:paraId="37F8E5B1" w14:textId="2FE61CCF" w:rsidR="00C070CB" w:rsidRPr="00245623" w:rsidRDefault="00C070CB" w:rsidP="004028FE">
      <w:pPr>
        <w:spacing w:line="480" w:lineRule="auto"/>
        <w:jc w:val="both"/>
        <w:rPr>
          <w:color w:val="2E2E2E"/>
          <w:lang w:val="en-US"/>
        </w:rPr>
      </w:pPr>
      <w:r w:rsidRPr="00245623">
        <w:rPr>
          <w:lang w:val="en-US"/>
        </w:rPr>
        <w:t xml:space="preserve">JV acknowledges funding </w:t>
      </w:r>
      <w:r w:rsidRPr="00245623">
        <w:rPr>
          <w:color w:val="2E2E2E"/>
          <w:lang w:val="en-US"/>
        </w:rPr>
        <w:t>from the European Research Council (ERC) under the European Union’s FP7 and Horizon 2020 research and innovation programs [grant agreements No 336331 and 818266].</w:t>
      </w:r>
    </w:p>
    <w:p w14:paraId="2CF9BC80" w14:textId="77777777" w:rsidR="00385642" w:rsidRDefault="00385642" w:rsidP="00385642">
      <w:pPr>
        <w:spacing w:line="480" w:lineRule="auto"/>
        <w:rPr>
          <w:b/>
          <w:lang w:val="en-US"/>
        </w:rPr>
      </w:pPr>
    </w:p>
    <w:p w14:paraId="6282E09E" w14:textId="62AD49EC" w:rsidR="00385642" w:rsidRPr="00385642" w:rsidRDefault="00385642" w:rsidP="00385642">
      <w:pPr>
        <w:spacing w:line="480" w:lineRule="auto"/>
        <w:rPr>
          <w:b/>
          <w:lang w:val="en-US"/>
        </w:rPr>
      </w:pPr>
      <w:r w:rsidRPr="00385642">
        <w:rPr>
          <w:b/>
          <w:lang w:val="en-US"/>
        </w:rPr>
        <w:t>Data availability statement</w:t>
      </w:r>
    </w:p>
    <w:p w14:paraId="05E14A55" w14:textId="2EED592D" w:rsidR="00385642" w:rsidRPr="00385642" w:rsidRDefault="00385642" w:rsidP="00385642">
      <w:pPr>
        <w:spacing w:line="480" w:lineRule="auto"/>
        <w:rPr>
          <w:lang w:val="en-US"/>
        </w:rPr>
      </w:pPr>
      <w:r w:rsidRPr="00385642">
        <w:rPr>
          <w:lang w:val="en-US"/>
        </w:rPr>
        <w:t>The data that support the findings of this study are available from the corresponding author upon reasonable request.</w:t>
      </w:r>
    </w:p>
    <w:p w14:paraId="3BAE1D90" w14:textId="77777777" w:rsidR="00C070CB" w:rsidRPr="00245623" w:rsidRDefault="00C070CB" w:rsidP="00C070CB">
      <w:pPr>
        <w:spacing w:line="480" w:lineRule="auto"/>
        <w:jc w:val="both"/>
        <w:rPr>
          <w:lang w:val="en-US"/>
        </w:rPr>
      </w:pPr>
    </w:p>
    <w:p w14:paraId="7C0EDD71" w14:textId="1C9716A3" w:rsidR="00C070CB" w:rsidRPr="00245623" w:rsidRDefault="00C070CB" w:rsidP="00C070CB">
      <w:pPr>
        <w:pStyle w:val="Standard"/>
        <w:spacing w:line="480" w:lineRule="auto"/>
        <w:rPr>
          <w:rFonts w:ascii="Times New Roman" w:hAnsi="Times New Roman" w:cs="Times New Roman"/>
          <w:b/>
          <w:bCs/>
          <w:color w:val="000000" w:themeColor="text1"/>
          <w:lang w:val="en-US"/>
        </w:rPr>
      </w:pPr>
      <w:r w:rsidRPr="00245623">
        <w:rPr>
          <w:rFonts w:ascii="Times New Roman" w:hAnsi="Times New Roman" w:cs="Times New Roman"/>
          <w:b/>
          <w:bCs/>
          <w:color w:val="000000" w:themeColor="text1"/>
          <w:lang w:val="en-US"/>
        </w:rPr>
        <w:t xml:space="preserve">Key words: </w:t>
      </w:r>
      <w:r w:rsidRPr="00245623">
        <w:rPr>
          <w:rFonts w:ascii="Times New Roman" w:hAnsi="Times New Roman" w:cs="Times New Roman"/>
          <w:bCs/>
          <w:color w:val="000000" w:themeColor="text1"/>
          <w:lang w:val="en-US"/>
        </w:rPr>
        <w:t xml:space="preserve">Inflammation, glial cells, diffusion-weighted spectroscopy, </w:t>
      </w:r>
      <w:r w:rsidRPr="00245623">
        <w:rPr>
          <w:rFonts w:ascii="Times New Roman" w:hAnsi="Times New Roman" w:cs="Times New Roman"/>
          <w:bCs/>
          <w:i/>
          <w:color w:val="000000" w:themeColor="text1"/>
          <w:lang w:val="en-US"/>
        </w:rPr>
        <w:t>myo</w:t>
      </w:r>
      <w:r w:rsidRPr="00245623">
        <w:rPr>
          <w:rFonts w:ascii="Times New Roman" w:hAnsi="Times New Roman" w:cs="Times New Roman"/>
          <w:bCs/>
          <w:color w:val="000000" w:themeColor="text1"/>
          <w:lang w:val="en-US"/>
        </w:rPr>
        <w:t>-inositol, choline compounds, cuprizone model.</w:t>
      </w:r>
    </w:p>
    <w:p w14:paraId="61524524" w14:textId="63FED2C7" w:rsidR="00C070CB" w:rsidRPr="00245623" w:rsidRDefault="00C070CB" w:rsidP="00C070CB">
      <w:pPr>
        <w:pStyle w:val="Standard"/>
        <w:spacing w:line="480" w:lineRule="auto"/>
        <w:rPr>
          <w:rFonts w:ascii="Times New Roman" w:hAnsi="Times New Roman" w:cs="Times New Roman"/>
          <w:b/>
          <w:bCs/>
          <w:color w:val="000000" w:themeColor="text1"/>
          <w:lang w:val="en-US"/>
        </w:rPr>
      </w:pPr>
      <w:r w:rsidRPr="00245623">
        <w:rPr>
          <w:rFonts w:ascii="Times New Roman" w:hAnsi="Times New Roman" w:cs="Times New Roman"/>
          <w:b/>
          <w:bCs/>
          <w:color w:val="000000" w:themeColor="text1"/>
          <w:lang w:val="en-US"/>
        </w:rPr>
        <w:t>Abbreviations</w:t>
      </w:r>
      <w:r w:rsidRPr="00245623">
        <w:rPr>
          <w:rFonts w:ascii="Times New Roman" w:hAnsi="Times New Roman" w:cs="Times New Roman"/>
          <w:szCs w:val="28"/>
          <w:lang w:val="en-US"/>
        </w:rPr>
        <w:t xml:space="preserve"> ADC, apparent diffusion coefficient; </w:t>
      </w:r>
      <w:r w:rsidR="00A508E4" w:rsidRPr="00245623">
        <w:rPr>
          <w:rFonts w:ascii="Times New Roman" w:hAnsi="Times New Roman" w:cs="Times New Roman"/>
          <w:iCs/>
          <w:szCs w:val="22"/>
          <w:lang w:val="en-US"/>
        </w:rPr>
        <w:t xml:space="preserve">AAF, astrocyte area fraction; </w:t>
      </w:r>
      <w:r w:rsidRPr="00245623">
        <w:rPr>
          <w:rFonts w:ascii="Times New Roman" w:hAnsi="Times New Roman" w:cs="Times New Roman"/>
          <w:lang w:val="en-US"/>
        </w:rPr>
        <w:t xml:space="preserve">CC1, </w:t>
      </w:r>
      <w:r w:rsidRPr="00245623">
        <w:rPr>
          <w:rFonts w:ascii="Times New Roman" w:eastAsia="Liberation Serif" w:hAnsi="Times New Roman" w:cs="Times New Roman"/>
          <w:lang w:val="en-US"/>
        </w:rPr>
        <w:t>adenomatous polyposis coli oligodendrocyte proteins;</w:t>
      </w:r>
      <w:r w:rsidRPr="00245623">
        <w:rPr>
          <w:rFonts w:ascii="Times New Roman" w:hAnsi="Times New Roman" w:cs="Times New Roman"/>
          <w:lang w:val="en-US"/>
        </w:rPr>
        <w:t xml:space="preserve"> </w:t>
      </w:r>
      <w:r w:rsidRPr="00245623">
        <w:rPr>
          <w:rFonts w:ascii="Times New Roman" w:hAnsi="Times New Roman" w:cs="Times New Roman"/>
          <w:color w:val="000000" w:themeColor="text1"/>
          <w:lang w:val="en-US"/>
        </w:rPr>
        <w:t xml:space="preserve">CRLB, </w:t>
      </w:r>
      <w:proofErr w:type="spellStart"/>
      <w:r w:rsidRPr="00245623">
        <w:rPr>
          <w:rFonts w:ascii="Times New Roman" w:hAnsi="Times New Roman" w:cs="Times New Roman"/>
          <w:szCs w:val="20"/>
          <w:lang w:val="en-US"/>
        </w:rPr>
        <w:t>Cramér</w:t>
      </w:r>
      <w:proofErr w:type="spellEnd"/>
      <w:r w:rsidRPr="00245623">
        <w:rPr>
          <w:rFonts w:ascii="Times New Roman" w:hAnsi="Times New Roman" w:cs="Times New Roman"/>
          <w:szCs w:val="20"/>
          <w:lang w:val="en-US"/>
        </w:rPr>
        <w:t>-Rao lower bound</w:t>
      </w:r>
      <w:r w:rsidRPr="00245623">
        <w:rPr>
          <w:rFonts w:ascii="Times New Roman" w:hAnsi="Times New Roman" w:cs="Times New Roman"/>
          <w:szCs w:val="28"/>
          <w:lang w:val="en-US"/>
        </w:rPr>
        <w:t xml:space="preserve">; DW, diffusion-weighted; </w:t>
      </w:r>
      <w:r w:rsidRPr="00245623">
        <w:rPr>
          <w:rFonts w:ascii="Times New Roman" w:hAnsi="Times New Roman" w:cs="Times New Roman"/>
          <w:lang w:val="en-US"/>
        </w:rPr>
        <w:t>GFAP</w:t>
      </w:r>
      <w:r w:rsidR="00994C17" w:rsidRPr="00245623">
        <w:rPr>
          <w:rFonts w:ascii="Times New Roman" w:hAnsi="Times New Roman" w:cs="Times New Roman"/>
          <w:lang w:val="en-US"/>
        </w:rPr>
        <w:t>,</w:t>
      </w:r>
      <w:r w:rsidRPr="00245623">
        <w:rPr>
          <w:rFonts w:ascii="Times New Roman" w:hAnsi="Times New Roman" w:cs="Times New Roman"/>
          <w:lang w:val="en-US"/>
        </w:rPr>
        <w:t xml:space="preserve"> glial fibrillary acidic protein; </w:t>
      </w:r>
      <w:proofErr w:type="spellStart"/>
      <w:r w:rsidR="00994C17" w:rsidRPr="00245623">
        <w:rPr>
          <w:rFonts w:ascii="Times New Roman" w:hAnsi="Times New Roman" w:cs="Times New Roman"/>
          <w:lang w:val="en-US"/>
        </w:rPr>
        <w:t>Glu</w:t>
      </w:r>
      <w:proofErr w:type="spellEnd"/>
      <w:r w:rsidR="00994C17" w:rsidRPr="00245623">
        <w:rPr>
          <w:rFonts w:ascii="Times New Roman" w:hAnsi="Times New Roman" w:cs="Times New Roman"/>
          <w:lang w:val="en-US"/>
        </w:rPr>
        <w:t xml:space="preserve">, glutamate; </w:t>
      </w:r>
      <w:r w:rsidRPr="00245623">
        <w:rPr>
          <w:rFonts w:ascii="Times New Roman" w:hAnsi="Times New Roman" w:cs="Times New Roman"/>
          <w:lang w:val="en-US"/>
        </w:rPr>
        <w:t>IBA1</w:t>
      </w:r>
      <w:r w:rsidR="00994C17" w:rsidRPr="00245623">
        <w:rPr>
          <w:rFonts w:ascii="Times New Roman" w:hAnsi="Times New Roman" w:cs="Times New Roman"/>
          <w:lang w:val="en-US"/>
        </w:rPr>
        <w:t>,</w:t>
      </w:r>
      <w:r w:rsidRPr="00245623">
        <w:rPr>
          <w:rFonts w:ascii="Times New Roman" w:hAnsi="Times New Roman" w:cs="Times New Roman"/>
          <w:lang w:val="en-US"/>
        </w:rPr>
        <w:t xml:space="preserve"> </w:t>
      </w:r>
      <w:r w:rsidRPr="00245623">
        <w:rPr>
          <w:rFonts w:ascii="Times New Roman" w:eastAsia="Liberation Serif" w:hAnsi="Times New Roman" w:cs="Times New Roman"/>
          <w:lang w:val="en-US"/>
        </w:rPr>
        <w:t>adaptive molecule linking ionizing calcium 1;</w:t>
      </w:r>
      <w:r w:rsidRPr="00245623">
        <w:rPr>
          <w:rFonts w:ascii="Times New Roman" w:hAnsi="Times New Roman" w:cs="Times New Roman"/>
          <w:b/>
          <w:bCs/>
          <w:color w:val="000000" w:themeColor="text1"/>
          <w:lang w:val="en-US"/>
        </w:rPr>
        <w:t xml:space="preserve"> </w:t>
      </w:r>
      <w:r w:rsidR="00A508E4" w:rsidRPr="00245623">
        <w:rPr>
          <w:rFonts w:ascii="Times New Roman" w:hAnsi="Times New Roman" w:cs="Times New Roman"/>
          <w:iCs/>
          <w:szCs w:val="22"/>
          <w:lang w:val="en-US"/>
        </w:rPr>
        <w:t>MAF, microglia area fraction;</w:t>
      </w:r>
      <w:r w:rsidR="00A508E4" w:rsidRPr="00245623">
        <w:rPr>
          <w:rFonts w:ascii="Times New Roman" w:hAnsi="Times New Roman" w:cs="Times New Roman"/>
          <w:b/>
          <w:bCs/>
          <w:color w:val="000000" w:themeColor="text1"/>
          <w:lang w:val="en-US"/>
        </w:rPr>
        <w:t xml:space="preserve"> </w:t>
      </w:r>
      <w:proofErr w:type="spellStart"/>
      <w:r w:rsidRPr="00245623">
        <w:rPr>
          <w:rFonts w:ascii="Times New Roman" w:hAnsi="Times New Roman" w:cs="Times New Roman"/>
          <w:color w:val="000000" w:themeColor="text1"/>
          <w:lang w:val="en-US"/>
        </w:rPr>
        <w:t>mIns</w:t>
      </w:r>
      <w:proofErr w:type="spellEnd"/>
      <w:r w:rsidRPr="00245623">
        <w:rPr>
          <w:rFonts w:ascii="Times New Roman" w:hAnsi="Times New Roman" w:cs="Times New Roman"/>
          <w:color w:val="000000" w:themeColor="text1"/>
          <w:lang w:val="en-US"/>
        </w:rPr>
        <w:t xml:space="preserve">, </w:t>
      </w:r>
      <w:r w:rsidRPr="00245623">
        <w:rPr>
          <w:rFonts w:ascii="Times New Roman" w:hAnsi="Times New Roman" w:cs="Times New Roman"/>
          <w:i/>
          <w:color w:val="000000" w:themeColor="text1"/>
          <w:lang w:val="en-US"/>
        </w:rPr>
        <w:t>myo</w:t>
      </w:r>
      <w:r w:rsidRPr="00245623">
        <w:rPr>
          <w:rFonts w:ascii="Times New Roman" w:hAnsi="Times New Roman" w:cs="Times New Roman"/>
          <w:color w:val="000000" w:themeColor="text1"/>
          <w:lang w:val="en-US"/>
        </w:rPr>
        <w:t xml:space="preserve">-inositol; </w:t>
      </w:r>
      <w:r w:rsidR="00942012" w:rsidRPr="00245623">
        <w:rPr>
          <w:rFonts w:ascii="Times New Roman" w:hAnsi="Times New Roman" w:cs="Times New Roman"/>
          <w:iCs/>
          <w:szCs w:val="22"/>
          <w:lang w:val="en-US"/>
        </w:rPr>
        <w:t xml:space="preserve">OAF, </w:t>
      </w:r>
      <w:r w:rsidR="00942012" w:rsidRPr="00245623">
        <w:rPr>
          <w:rFonts w:ascii="Times New Roman" w:hAnsi="Times New Roman" w:cs="Times New Roman"/>
          <w:iCs/>
          <w:color w:val="000000"/>
          <w:szCs w:val="22"/>
          <w:lang w:val="en-US"/>
        </w:rPr>
        <w:t>oligodendrocyte area fraction;</w:t>
      </w:r>
      <w:r w:rsidRPr="00245623">
        <w:rPr>
          <w:rFonts w:ascii="Times New Roman" w:hAnsi="Times New Roman" w:cs="Times New Roman"/>
          <w:color w:val="000000" w:themeColor="text1"/>
          <w:lang w:val="en-US"/>
        </w:rPr>
        <w:t xml:space="preserve"> </w:t>
      </w:r>
      <w:proofErr w:type="spellStart"/>
      <w:r w:rsidRPr="00245623">
        <w:rPr>
          <w:rFonts w:ascii="Times New Roman" w:hAnsi="Times New Roman" w:cs="Times New Roman"/>
          <w:color w:val="000000" w:themeColor="text1"/>
          <w:lang w:val="en-US"/>
        </w:rPr>
        <w:t>tCho</w:t>
      </w:r>
      <w:proofErr w:type="spellEnd"/>
      <w:r w:rsidRPr="00245623">
        <w:rPr>
          <w:rFonts w:ascii="Times New Roman" w:hAnsi="Times New Roman" w:cs="Times New Roman"/>
          <w:color w:val="000000" w:themeColor="text1"/>
          <w:lang w:val="en-US"/>
        </w:rPr>
        <w:t xml:space="preserve">, choline containing compounds; </w:t>
      </w:r>
      <w:proofErr w:type="spellStart"/>
      <w:r w:rsidRPr="00245623">
        <w:rPr>
          <w:rFonts w:ascii="Times New Roman" w:hAnsi="Times New Roman" w:cs="Times New Roman"/>
          <w:lang w:val="en-US"/>
        </w:rPr>
        <w:t>tCr</w:t>
      </w:r>
      <w:proofErr w:type="spellEnd"/>
      <w:r w:rsidRPr="00245623">
        <w:rPr>
          <w:rFonts w:ascii="Times New Roman" w:hAnsi="Times New Roman" w:cs="Times New Roman"/>
          <w:lang w:val="en-US"/>
        </w:rPr>
        <w:t xml:space="preserve">, </w:t>
      </w:r>
      <w:r w:rsidRPr="00245623">
        <w:rPr>
          <w:rFonts w:ascii="Times New Roman" w:hAnsi="Times New Roman" w:cs="Times New Roman"/>
          <w:color w:val="000000" w:themeColor="text1"/>
          <w:lang w:val="en-US"/>
        </w:rPr>
        <w:t>creatine + phosphocreatine; t</w:t>
      </w:r>
      <w:r w:rsidRPr="00245623">
        <w:rPr>
          <w:rFonts w:ascii="Times New Roman" w:hAnsi="Times New Roman" w:cs="Times New Roman"/>
          <w:color w:val="000000" w:themeColor="text1"/>
          <w:vertAlign w:val="subscript"/>
          <w:lang w:val="en-US"/>
        </w:rPr>
        <w:t>d</w:t>
      </w:r>
      <w:r w:rsidRPr="00245623">
        <w:rPr>
          <w:rFonts w:ascii="Times New Roman" w:hAnsi="Times New Roman" w:cs="Times New Roman"/>
          <w:color w:val="000000" w:themeColor="text1"/>
          <w:lang w:val="en-US"/>
        </w:rPr>
        <w:t xml:space="preserve">, diffusion time;  </w:t>
      </w:r>
      <w:proofErr w:type="spellStart"/>
      <w:r w:rsidRPr="00245623">
        <w:rPr>
          <w:rFonts w:ascii="Times New Roman" w:hAnsi="Times New Roman" w:cs="Times New Roman"/>
          <w:szCs w:val="28"/>
          <w:lang w:val="en-US"/>
        </w:rPr>
        <w:t>tNAA</w:t>
      </w:r>
      <w:proofErr w:type="spellEnd"/>
      <w:r w:rsidRPr="00245623">
        <w:rPr>
          <w:rFonts w:ascii="Times New Roman" w:hAnsi="Times New Roman" w:cs="Times New Roman"/>
          <w:szCs w:val="28"/>
          <w:lang w:val="en-US"/>
        </w:rPr>
        <w:t xml:space="preserve">, </w:t>
      </w:r>
      <w:r w:rsidRPr="00245623">
        <w:rPr>
          <w:rFonts w:ascii="Times New Roman" w:hAnsi="Times New Roman" w:cs="Times New Roman"/>
          <w:i/>
          <w:color w:val="000000" w:themeColor="text1"/>
          <w:lang w:val="en-US"/>
        </w:rPr>
        <w:t>N</w:t>
      </w:r>
      <w:r w:rsidRPr="00245623">
        <w:rPr>
          <w:rFonts w:ascii="Times New Roman" w:hAnsi="Times New Roman" w:cs="Times New Roman"/>
          <w:color w:val="000000" w:themeColor="text1"/>
          <w:lang w:val="en-US"/>
        </w:rPr>
        <w:t>-</w:t>
      </w:r>
      <w:proofErr w:type="spellStart"/>
      <w:r w:rsidRPr="00245623">
        <w:rPr>
          <w:rFonts w:ascii="Times New Roman" w:hAnsi="Times New Roman" w:cs="Times New Roman"/>
          <w:color w:val="000000" w:themeColor="text1"/>
          <w:lang w:val="en-US"/>
        </w:rPr>
        <w:t>acetylaspartate</w:t>
      </w:r>
      <w:proofErr w:type="spellEnd"/>
      <w:r w:rsidRPr="00245623">
        <w:rPr>
          <w:rFonts w:ascii="Times New Roman" w:hAnsi="Times New Roman" w:cs="Times New Roman"/>
          <w:color w:val="000000" w:themeColor="text1"/>
          <w:lang w:val="en-US"/>
        </w:rPr>
        <w:t xml:space="preserve"> + </w:t>
      </w:r>
      <w:r w:rsidRPr="00245623">
        <w:rPr>
          <w:rFonts w:ascii="Times New Roman" w:hAnsi="Times New Roman" w:cs="Times New Roman"/>
          <w:i/>
          <w:lang w:val="en-US"/>
        </w:rPr>
        <w:t>N</w:t>
      </w:r>
      <w:r w:rsidRPr="00245623">
        <w:rPr>
          <w:rFonts w:ascii="Times New Roman" w:hAnsi="Times New Roman" w:cs="Times New Roman"/>
          <w:lang w:val="en-US"/>
        </w:rPr>
        <w:t>-</w:t>
      </w:r>
      <w:proofErr w:type="spellStart"/>
      <w:r w:rsidRPr="00245623">
        <w:rPr>
          <w:rFonts w:ascii="Times New Roman" w:hAnsi="Times New Roman" w:cs="Times New Roman"/>
          <w:lang w:val="en-US"/>
        </w:rPr>
        <w:t>acetylaspartylglutamate</w:t>
      </w:r>
      <w:proofErr w:type="spellEnd"/>
      <w:r w:rsidRPr="00245623">
        <w:rPr>
          <w:rFonts w:ascii="Times New Roman" w:hAnsi="Times New Roman" w:cs="Times New Roman"/>
          <w:lang w:val="en-US"/>
        </w:rPr>
        <w:t>;</w:t>
      </w:r>
      <w:r w:rsidRPr="00245623">
        <w:rPr>
          <w:rFonts w:ascii="Times New Roman" w:hAnsi="Times New Roman" w:cs="Times New Roman"/>
          <w:color w:val="000000" w:themeColor="text1"/>
          <w:lang w:val="en-US"/>
        </w:rPr>
        <w:t xml:space="preserve"> Tau, taurine; </w:t>
      </w:r>
      <w:r w:rsidRPr="00245623">
        <w:rPr>
          <w:rFonts w:ascii="Times New Roman" w:hAnsi="Times New Roman" w:cs="Times New Roman"/>
          <w:lang w:val="en-US"/>
        </w:rPr>
        <w:t>VOI, volume of interest.</w:t>
      </w:r>
    </w:p>
    <w:p w14:paraId="2A50DF4F" w14:textId="77777777" w:rsidR="00C070CB" w:rsidRPr="00245623" w:rsidRDefault="00C070CB" w:rsidP="007C10C1">
      <w:pPr>
        <w:pStyle w:val="Standard"/>
        <w:spacing w:line="240" w:lineRule="auto"/>
        <w:rPr>
          <w:rFonts w:ascii="Times New Roman" w:hAnsi="Times New Roman" w:cs="Times New Roman"/>
          <w:bCs/>
          <w:color w:val="000000" w:themeColor="text1"/>
          <w:lang w:val="en-US"/>
        </w:rPr>
      </w:pPr>
    </w:p>
    <w:p w14:paraId="5EBF1ED2" w14:textId="77777777" w:rsidR="007C10C1" w:rsidRPr="00245623" w:rsidRDefault="007C10C1" w:rsidP="00322E4D">
      <w:pPr>
        <w:pStyle w:val="Standard"/>
        <w:spacing w:line="240" w:lineRule="auto"/>
        <w:rPr>
          <w:rFonts w:ascii="Times New Roman" w:hAnsi="Times New Roman" w:cs="Times New Roman"/>
          <w:b/>
          <w:bCs/>
          <w:color w:val="000000" w:themeColor="text1"/>
          <w:sz w:val="28"/>
          <w:lang w:val="en-US"/>
        </w:rPr>
      </w:pPr>
    </w:p>
    <w:p w14:paraId="385CFE10" w14:textId="77777777" w:rsidR="004028FE" w:rsidRPr="00245623" w:rsidRDefault="004028FE" w:rsidP="00636975">
      <w:pPr>
        <w:pStyle w:val="Standard"/>
        <w:spacing w:line="240" w:lineRule="auto"/>
        <w:rPr>
          <w:rFonts w:ascii="Times New Roman" w:hAnsi="Times New Roman" w:cs="Times New Roman"/>
          <w:b/>
          <w:bCs/>
          <w:color w:val="000000" w:themeColor="text1"/>
          <w:sz w:val="28"/>
          <w:lang w:val="en-US"/>
        </w:rPr>
      </w:pPr>
    </w:p>
    <w:p w14:paraId="75D55EC3" w14:textId="77777777" w:rsidR="004028FE" w:rsidRPr="00245623" w:rsidRDefault="004028FE" w:rsidP="00636975">
      <w:pPr>
        <w:pStyle w:val="Standard"/>
        <w:spacing w:line="240" w:lineRule="auto"/>
        <w:rPr>
          <w:rFonts w:ascii="Times New Roman" w:hAnsi="Times New Roman" w:cs="Times New Roman"/>
          <w:b/>
          <w:bCs/>
          <w:color w:val="000000" w:themeColor="text1"/>
          <w:sz w:val="28"/>
          <w:lang w:val="en-US"/>
        </w:rPr>
      </w:pPr>
    </w:p>
    <w:p w14:paraId="2E413A18" w14:textId="77777777" w:rsidR="004028FE" w:rsidRPr="00245623" w:rsidRDefault="004028FE" w:rsidP="00636975">
      <w:pPr>
        <w:pStyle w:val="Standard"/>
        <w:spacing w:line="240" w:lineRule="auto"/>
        <w:rPr>
          <w:rFonts w:ascii="Times New Roman" w:hAnsi="Times New Roman" w:cs="Times New Roman"/>
          <w:b/>
          <w:bCs/>
          <w:color w:val="000000" w:themeColor="text1"/>
          <w:sz w:val="28"/>
          <w:lang w:val="en-US"/>
        </w:rPr>
      </w:pPr>
    </w:p>
    <w:p w14:paraId="4FE2DD4A" w14:textId="5011855E" w:rsidR="00636975" w:rsidRPr="00245623" w:rsidRDefault="00BA10DD" w:rsidP="00636975">
      <w:pPr>
        <w:pStyle w:val="Standard"/>
        <w:spacing w:line="240" w:lineRule="auto"/>
        <w:rPr>
          <w:rFonts w:ascii="Times New Roman" w:hAnsi="Times New Roman" w:cs="Times New Roman"/>
          <w:bCs/>
          <w:color w:val="000000" w:themeColor="text1"/>
          <w:lang w:val="en-US"/>
        </w:rPr>
      </w:pPr>
      <w:r w:rsidRPr="00245623">
        <w:rPr>
          <w:rFonts w:ascii="Times New Roman" w:hAnsi="Times New Roman" w:cs="Times New Roman"/>
          <w:b/>
          <w:bCs/>
          <w:color w:val="000000" w:themeColor="text1"/>
          <w:sz w:val="28"/>
          <w:lang w:val="en-US"/>
        </w:rPr>
        <w:lastRenderedPageBreak/>
        <w:t>Abstract</w:t>
      </w:r>
    </w:p>
    <w:p w14:paraId="6D09E5B9" w14:textId="7695A982" w:rsidR="00E4309D" w:rsidRPr="00245623" w:rsidRDefault="00C234B1" w:rsidP="008531ED">
      <w:pPr>
        <w:pStyle w:val="Standard"/>
        <w:spacing w:line="480" w:lineRule="auto"/>
        <w:jc w:val="both"/>
        <w:rPr>
          <w:rFonts w:ascii="Times New Roman" w:hAnsi="Times New Roman" w:cs="Times New Roman"/>
          <w:bCs/>
          <w:color w:val="000000" w:themeColor="text1"/>
          <w:lang w:val="en-US"/>
        </w:rPr>
      </w:pPr>
      <w:r w:rsidRPr="00245623">
        <w:rPr>
          <w:rFonts w:ascii="Times New Roman" w:hAnsi="Times New Roman" w:cs="Times New Roman"/>
          <w:bCs/>
          <w:color w:val="000000" w:themeColor="text1"/>
          <w:lang w:val="en-US"/>
        </w:rPr>
        <w:t xml:space="preserve">Inflammation of brain tissue is a </w:t>
      </w:r>
      <w:r w:rsidR="008531ED" w:rsidRPr="00245623">
        <w:rPr>
          <w:rFonts w:ascii="Times New Roman" w:hAnsi="Times New Roman" w:cs="Times New Roman"/>
          <w:bCs/>
          <w:color w:val="000000" w:themeColor="text1"/>
          <w:lang w:val="en-US"/>
        </w:rPr>
        <w:t xml:space="preserve">complex response of the immune system </w:t>
      </w:r>
      <w:r w:rsidR="00B62072" w:rsidRPr="00245623">
        <w:rPr>
          <w:rFonts w:ascii="Times New Roman" w:hAnsi="Times New Roman" w:cs="Times New Roman"/>
          <w:bCs/>
          <w:color w:val="000000" w:themeColor="text1"/>
          <w:lang w:val="en-US"/>
        </w:rPr>
        <w:t xml:space="preserve">to the </w:t>
      </w:r>
      <w:r w:rsidR="008531ED" w:rsidRPr="00245623">
        <w:rPr>
          <w:rFonts w:ascii="Times New Roman" w:hAnsi="Times New Roman" w:cs="Times New Roman"/>
          <w:bCs/>
          <w:color w:val="000000" w:themeColor="text1"/>
          <w:lang w:val="en-US"/>
        </w:rPr>
        <w:t>presence of toxic compounds</w:t>
      </w:r>
      <w:r w:rsidR="00B62072" w:rsidRPr="00245623">
        <w:rPr>
          <w:rFonts w:ascii="Times New Roman" w:hAnsi="Times New Roman" w:cs="Times New Roman"/>
          <w:bCs/>
          <w:color w:val="000000" w:themeColor="text1"/>
          <w:lang w:val="en-US"/>
        </w:rPr>
        <w:t xml:space="preserve"> or to cell injury</w:t>
      </w:r>
      <w:r w:rsidR="008531ED" w:rsidRPr="00245623">
        <w:rPr>
          <w:rFonts w:ascii="Times New Roman" w:hAnsi="Times New Roman" w:cs="Times New Roman"/>
          <w:bCs/>
          <w:color w:val="000000" w:themeColor="text1"/>
          <w:lang w:val="en-US"/>
        </w:rPr>
        <w:t>, lead</w:t>
      </w:r>
      <w:r w:rsidR="00B62072" w:rsidRPr="00245623">
        <w:rPr>
          <w:rFonts w:ascii="Times New Roman" w:hAnsi="Times New Roman" w:cs="Times New Roman"/>
          <w:bCs/>
          <w:color w:val="000000" w:themeColor="text1"/>
          <w:lang w:val="en-US"/>
        </w:rPr>
        <w:t>ing</w:t>
      </w:r>
      <w:r w:rsidR="008531ED" w:rsidRPr="00245623">
        <w:rPr>
          <w:rFonts w:ascii="Times New Roman" w:hAnsi="Times New Roman" w:cs="Times New Roman"/>
          <w:bCs/>
          <w:color w:val="000000" w:themeColor="text1"/>
          <w:lang w:val="en-US"/>
        </w:rPr>
        <w:t xml:space="preserve"> to a cascade of pathological processes that include</w:t>
      </w:r>
      <w:r w:rsidR="006D35C2" w:rsidRPr="00245623">
        <w:rPr>
          <w:rFonts w:ascii="Times New Roman" w:hAnsi="Times New Roman" w:cs="Times New Roman"/>
          <w:bCs/>
          <w:color w:val="000000" w:themeColor="text1"/>
          <w:lang w:val="en-US"/>
        </w:rPr>
        <w:t xml:space="preserve"> </w:t>
      </w:r>
      <w:r w:rsidR="008531ED" w:rsidRPr="00245623">
        <w:rPr>
          <w:rFonts w:ascii="Times New Roman" w:hAnsi="Times New Roman" w:cs="Times New Roman"/>
          <w:bCs/>
          <w:color w:val="000000" w:themeColor="text1"/>
          <w:lang w:val="en-US"/>
        </w:rPr>
        <w:t>glial cell</w:t>
      </w:r>
      <w:r w:rsidR="006D35C2" w:rsidRPr="00245623">
        <w:rPr>
          <w:rFonts w:ascii="Times New Roman" w:hAnsi="Times New Roman" w:cs="Times New Roman"/>
          <w:bCs/>
          <w:color w:val="000000" w:themeColor="text1"/>
          <w:lang w:val="en-US"/>
        </w:rPr>
        <w:t xml:space="preserve"> activation</w:t>
      </w:r>
      <w:r w:rsidR="008531ED" w:rsidRPr="00245623">
        <w:rPr>
          <w:rFonts w:ascii="Times New Roman" w:hAnsi="Times New Roman" w:cs="Times New Roman"/>
          <w:bCs/>
          <w:color w:val="000000" w:themeColor="text1"/>
          <w:lang w:val="en-US"/>
        </w:rPr>
        <w:t>.</w:t>
      </w:r>
      <w:r w:rsidRPr="00245623">
        <w:rPr>
          <w:rFonts w:ascii="Times New Roman" w:hAnsi="Times New Roman" w:cs="Times New Roman"/>
          <w:bCs/>
          <w:color w:val="000000" w:themeColor="text1"/>
          <w:lang w:val="en-US"/>
        </w:rPr>
        <w:t xml:space="preserve"> </w:t>
      </w:r>
      <w:r w:rsidR="00236DBC" w:rsidRPr="00245623">
        <w:rPr>
          <w:rFonts w:ascii="Times New Roman" w:hAnsi="Times New Roman" w:cs="Times New Roman"/>
          <w:bCs/>
          <w:color w:val="000000" w:themeColor="text1"/>
          <w:lang w:val="en-US"/>
        </w:rPr>
        <w:t xml:space="preserve">Noninvasive magnetic resonance imaging markers of glial reactivity would be </w:t>
      </w:r>
      <w:r w:rsidR="00FD5A6F" w:rsidRPr="00245623">
        <w:rPr>
          <w:rFonts w:ascii="Times New Roman" w:hAnsi="Times New Roman" w:cs="Times New Roman"/>
          <w:bCs/>
          <w:color w:val="000000" w:themeColor="text1"/>
          <w:lang w:val="en-US"/>
        </w:rPr>
        <w:t>very</w:t>
      </w:r>
      <w:r w:rsidR="00236DBC" w:rsidRPr="00245623">
        <w:rPr>
          <w:rFonts w:ascii="Times New Roman" w:hAnsi="Times New Roman" w:cs="Times New Roman"/>
          <w:bCs/>
          <w:color w:val="000000" w:themeColor="text1"/>
          <w:lang w:val="en-US"/>
        </w:rPr>
        <w:t xml:space="preserve"> </w:t>
      </w:r>
      <w:r w:rsidR="004C60F5" w:rsidRPr="00245623">
        <w:rPr>
          <w:rFonts w:ascii="Times New Roman" w:hAnsi="Times New Roman" w:cs="Times New Roman"/>
          <w:bCs/>
          <w:color w:val="000000" w:themeColor="text1"/>
          <w:lang w:val="en-US"/>
        </w:rPr>
        <w:t xml:space="preserve">useful </w:t>
      </w:r>
      <w:r w:rsidR="00236DBC" w:rsidRPr="00245623">
        <w:rPr>
          <w:rFonts w:ascii="Times New Roman" w:hAnsi="Times New Roman" w:cs="Times New Roman"/>
          <w:bCs/>
          <w:color w:val="000000" w:themeColor="text1"/>
          <w:lang w:val="en-US"/>
        </w:rPr>
        <w:t xml:space="preserve">for </w:t>
      </w:r>
      <w:r w:rsidR="006D35C2" w:rsidRPr="00245623">
        <w:rPr>
          <w:rFonts w:ascii="Times New Roman" w:hAnsi="Times New Roman" w:cs="Times New Roman"/>
          <w:bCs/>
          <w:i/>
          <w:color w:val="000000" w:themeColor="text1"/>
          <w:lang w:val="en-US"/>
        </w:rPr>
        <w:t>in vivo</w:t>
      </w:r>
      <w:r w:rsidR="006D35C2" w:rsidRPr="00245623">
        <w:rPr>
          <w:rFonts w:ascii="Times New Roman" w:hAnsi="Times New Roman" w:cs="Times New Roman"/>
          <w:bCs/>
          <w:color w:val="000000" w:themeColor="text1"/>
          <w:lang w:val="en-US"/>
        </w:rPr>
        <w:t xml:space="preserve"> </w:t>
      </w:r>
      <w:r w:rsidR="00236DBC" w:rsidRPr="00245623">
        <w:rPr>
          <w:rFonts w:ascii="Times New Roman" w:hAnsi="Times New Roman" w:cs="Times New Roman"/>
          <w:bCs/>
          <w:color w:val="000000" w:themeColor="text1"/>
          <w:lang w:val="en-US"/>
        </w:rPr>
        <w:t>detection and monitoring of inflammation process</w:t>
      </w:r>
      <w:r w:rsidR="00F61A25" w:rsidRPr="00245623">
        <w:rPr>
          <w:rFonts w:ascii="Times New Roman" w:hAnsi="Times New Roman" w:cs="Times New Roman"/>
          <w:bCs/>
          <w:color w:val="000000" w:themeColor="text1"/>
          <w:lang w:val="en-US"/>
        </w:rPr>
        <w:t>es</w:t>
      </w:r>
      <w:r w:rsidR="00236DBC" w:rsidRPr="00245623">
        <w:rPr>
          <w:rFonts w:ascii="Times New Roman" w:hAnsi="Times New Roman" w:cs="Times New Roman"/>
          <w:bCs/>
          <w:color w:val="000000" w:themeColor="text1"/>
          <w:lang w:val="en-US"/>
        </w:rPr>
        <w:t xml:space="preserve"> in the brain, as well as for evaluati</w:t>
      </w:r>
      <w:r w:rsidR="004C60F5" w:rsidRPr="00245623">
        <w:rPr>
          <w:rFonts w:ascii="Times New Roman" w:hAnsi="Times New Roman" w:cs="Times New Roman"/>
          <w:bCs/>
          <w:color w:val="000000" w:themeColor="text1"/>
          <w:lang w:val="en-US"/>
        </w:rPr>
        <w:t xml:space="preserve">ng </w:t>
      </w:r>
      <w:r w:rsidR="00236DBC" w:rsidRPr="00245623">
        <w:rPr>
          <w:rFonts w:ascii="Times New Roman" w:hAnsi="Times New Roman" w:cs="Times New Roman"/>
          <w:bCs/>
          <w:color w:val="000000" w:themeColor="text1"/>
          <w:lang w:val="en-US"/>
        </w:rPr>
        <w:t xml:space="preserve">the efficacy of </w:t>
      </w:r>
      <w:r w:rsidR="00CB5F35" w:rsidRPr="00245623">
        <w:rPr>
          <w:rFonts w:ascii="Times New Roman" w:hAnsi="Times New Roman" w:cs="Times New Roman"/>
          <w:bCs/>
          <w:color w:val="000000" w:themeColor="text1"/>
          <w:lang w:val="en-US"/>
        </w:rPr>
        <w:t>personalized</w:t>
      </w:r>
      <w:r w:rsidR="004C60F5" w:rsidRPr="00245623">
        <w:rPr>
          <w:rFonts w:ascii="Times New Roman" w:hAnsi="Times New Roman" w:cs="Times New Roman"/>
          <w:bCs/>
          <w:color w:val="000000" w:themeColor="text1"/>
          <w:lang w:val="en-US"/>
        </w:rPr>
        <w:t xml:space="preserve"> </w:t>
      </w:r>
      <w:r w:rsidR="00236DBC" w:rsidRPr="00245623">
        <w:rPr>
          <w:rFonts w:ascii="Times New Roman" w:hAnsi="Times New Roman" w:cs="Times New Roman"/>
          <w:bCs/>
          <w:color w:val="000000" w:themeColor="text1"/>
          <w:lang w:val="en-US"/>
        </w:rPr>
        <w:t xml:space="preserve">treatments. </w:t>
      </w:r>
      <w:r w:rsidR="00B62072" w:rsidRPr="00245623">
        <w:rPr>
          <w:rFonts w:ascii="Times New Roman" w:hAnsi="Times New Roman" w:cs="Times New Roman"/>
          <w:bCs/>
          <w:color w:val="000000" w:themeColor="text1"/>
          <w:lang w:val="en-US"/>
        </w:rPr>
        <w:t xml:space="preserve">Due to their specific location in glial cells, </w:t>
      </w:r>
      <w:r w:rsidR="0093323D" w:rsidRPr="00245623">
        <w:rPr>
          <w:rFonts w:ascii="Times New Roman" w:hAnsi="Times New Roman" w:cs="Times New Roman"/>
          <w:bCs/>
          <w:i/>
          <w:color w:val="000000" w:themeColor="text1"/>
          <w:lang w:val="en-US"/>
        </w:rPr>
        <w:t>myo</w:t>
      </w:r>
      <w:r w:rsidR="0093323D" w:rsidRPr="00245623">
        <w:rPr>
          <w:rFonts w:ascii="Times New Roman" w:hAnsi="Times New Roman" w:cs="Times New Roman"/>
          <w:bCs/>
          <w:color w:val="000000" w:themeColor="text1"/>
          <w:lang w:val="en-US"/>
        </w:rPr>
        <w:t xml:space="preserve">-inositol </w:t>
      </w:r>
      <w:r w:rsidR="00966CBF" w:rsidRPr="00245623">
        <w:rPr>
          <w:rFonts w:ascii="Times New Roman" w:hAnsi="Times New Roman" w:cs="Times New Roman"/>
          <w:bCs/>
          <w:color w:val="000000" w:themeColor="text1"/>
          <w:lang w:val="en-US"/>
        </w:rPr>
        <w:t>(</w:t>
      </w:r>
      <w:proofErr w:type="spellStart"/>
      <w:r w:rsidR="00966CBF" w:rsidRPr="00245623">
        <w:rPr>
          <w:rFonts w:ascii="Times New Roman" w:hAnsi="Times New Roman" w:cs="Times New Roman"/>
          <w:bCs/>
          <w:color w:val="000000" w:themeColor="text1"/>
          <w:lang w:val="en-US"/>
        </w:rPr>
        <w:t>mIns</w:t>
      </w:r>
      <w:proofErr w:type="spellEnd"/>
      <w:r w:rsidR="00966CBF" w:rsidRPr="00245623">
        <w:rPr>
          <w:rFonts w:ascii="Times New Roman" w:hAnsi="Times New Roman" w:cs="Times New Roman"/>
          <w:bCs/>
          <w:color w:val="000000" w:themeColor="text1"/>
          <w:lang w:val="en-US"/>
        </w:rPr>
        <w:t xml:space="preserve">) </w:t>
      </w:r>
      <w:r w:rsidR="0093323D" w:rsidRPr="00245623">
        <w:rPr>
          <w:rFonts w:ascii="Times New Roman" w:hAnsi="Times New Roman" w:cs="Times New Roman"/>
          <w:bCs/>
          <w:color w:val="000000" w:themeColor="text1"/>
          <w:lang w:val="en-US"/>
        </w:rPr>
        <w:t>and choline compounds</w:t>
      </w:r>
      <w:r w:rsidR="00966CBF" w:rsidRPr="00245623">
        <w:rPr>
          <w:rFonts w:ascii="Times New Roman" w:hAnsi="Times New Roman" w:cs="Times New Roman"/>
          <w:bCs/>
          <w:color w:val="000000" w:themeColor="text1"/>
          <w:lang w:val="en-US"/>
        </w:rPr>
        <w:t xml:space="preserve"> (</w:t>
      </w:r>
      <w:proofErr w:type="spellStart"/>
      <w:r w:rsidR="00966CBF" w:rsidRPr="00245623">
        <w:rPr>
          <w:rFonts w:ascii="Times New Roman" w:hAnsi="Times New Roman" w:cs="Times New Roman"/>
          <w:bCs/>
          <w:color w:val="000000" w:themeColor="text1"/>
          <w:lang w:val="en-US"/>
        </w:rPr>
        <w:t>tCho</w:t>
      </w:r>
      <w:proofErr w:type="spellEnd"/>
      <w:r w:rsidR="00966CBF" w:rsidRPr="00245623">
        <w:rPr>
          <w:rFonts w:ascii="Times New Roman" w:hAnsi="Times New Roman" w:cs="Times New Roman"/>
          <w:bCs/>
          <w:color w:val="000000" w:themeColor="text1"/>
          <w:lang w:val="en-US"/>
        </w:rPr>
        <w:t>)</w:t>
      </w:r>
      <w:r w:rsidR="0093323D" w:rsidRPr="00245623">
        <w:rPr>
          <w:rFonts w:ascii="Times New Roman" w:hAnsi="Times New Roman" w:cs="Times New Roman"/>
          <w:bCs/>
          <w:color w:val="000000" w:themeColor="text1"/>
          <w:lang w:val="en-US"/>
        </w:rPr>
        <w:t xml:space="preserve"> seem the best candidates for probing glial-specific</w:t>
      </w:r>
      <w:r w:rsidR="00F61A25" w:rsidRPr="00245623">
        <w:rPr>
          <w:rFonts w:ascii="Times New Roman" w:hAnsi="Times New Roman" w:cs="Times New Roman"/>
          <w:bCs/>
          <w:color w:val="000000" w:themeColor="text1"/>
          <w:lang w:val="en-US"/>
        </w:rPr>
        <w:t xml:space="preserve"> </w:t>
      </w:r>
      <w:r w:rsidR="0093323D" w:rsidRPr="00245623">
        <w:rPr>
          <w:rFonts w:ascii="Times New Roman" w:hAnsi="Times New Roman" w:cs="Times New Roman"/>
          <w:bCs/>
          <w:color w:val="000000" w:themeColor="text1"/>
          <w:lang w:val="en-US"/>
        </w:rPr>
        <w:t>intra-cellular compartments</w:t>
      </w:r>
      <w:r w:rsidR="00A30EC1" w:rsidRPr="00245623">
        <w:rPr>
          <w:rFonts w:ascii="Times New Roman" w:hAnsi="Times New Roman" w:cs="Times New Roman"/>
          <w:bCs/>
          <w:color w:val="000000" w:themeColor="text1"/>
          <w:lang w:val="en-US"/>
        </w:rPr>
        <w:t>.</w:t>
      </w:r>
      <w:r w:rsidR="0093323D" w:rsidRPr="00245623">
        <w:rPr>
          <w:rFonts w:ascii="Times New Roman" w:hAnsi="Times New Roman" w:cs="Times New Roman"/>
          <w:bCs/>
          <w:color w:val="000000" w:themeColor="text1"/>
          <w:lang w:val="en-US"/>
        </w:rPr>
        <w:t xml:space="preserve"> </w:t>
      </w:r>
      <w:r w:rsidR="00A30EC1" w:rsidRPr="00245623">
        <w:rPr>
          <w:rFonts w:ascii="Times New Roman" w:hAnsi="Times New Roman" w:cs="Times New Roman"/>
          <w:bCs/>
          <w:color w:val="000000" w:themeColor="text1"/>
          <w:lang w:val="en-US"/>
        </w:rPr>
        <w:t>H</w:t>
      </w:r>
      <w:r w:rsidR="0093323D" w:rsidRPr="00245623">
        <w:rPr>
          <w:rFonts w:ascii="Times New Roman" w:hAnsi="Times New Roman" w:cs="Times New Roman"/>
          <w:bCs/>
          <w:color w:val="000000" w:themeColor="text1"/>
          <w:lang w:val="en-US"/>
        </w:rPr>
        <w:t xml:space="preserve">owever, their concentrations quantified using conventional proton magnetic resonance spectroscopy (MRS) </w:t>
      </w:r>
      <w:r w:rsidR="00FD5A6F" w:rsidRPr="00245623">
        <w:rPr>
          <w:rFonts w:ascii="Times New Roman" w:hAnsi="Times New Roman" w:cs="Times New Roman"/>
          <w:bCs/>
          <w:color w:val="000000" w:themeColor="text1"/>
          <w:lang w:val="en-US"/>
        </w:rPr>
        <w:t>are not specific for</w:t>
      </w:r>
      <w:r w:rsidR="0093323D" w:rsidRPr="00245623">
        <w:rPr>
          <w:rFonts w:ascii="Times New Roman" w:hAnsi="Times New Roman" w:cs="Times New Roman"/>
          <w:bCs/>
          <w:color w:val="000000" w:themeColor="text1"/>
          <w:lang w:val="en-US"/>
        </w:rPr>
        <w:t xml:space="preserve"> inflammation. In contrast, </w:t>
      </w:r>
      <w:r w:rsidR="004C60F5" w:rsidRPr="00245623">
        <w:rPr>
          <w:rStyle w:val="tlid-translation"/>
          <w:rFonts w:ascii="Times New Roman" w:eastAsia="Times New Roman" w:hAnsi="Times New Roman" w:cs="Times New Roman"/>
          <w:lang w:val="en"/>
        </w:rPr>
        <w:t xml:space="preserve">it has been </w:t>
      </w:r>
      <w:r w:rsidR="00FD5A6F" w:rsidRPr="00245623">
        <w:rPr>
          <w:rStyle w:val="tlid-translation"/>
          <w:rFonts w:ascii="Times New Roman" w:eastAsia="Times New Roman" w:hAnsi="Times New Roman" w:cs="Times New Roman"/>
          <w:lang w:val="en"/>
        </w:rPr>
        <w:t xml:space="preserve">recently </w:t>
      </w:r>
      <w:r w:rsidR="004C60F5" w:rsidRPr="00245623">
        <w:rPr>
          <w:rStyle w:val="tlid-translation"/>
          <w:rFonts w:ascii="Times New Roman" w:eastAsia="Times New Roman" w:hAnsi="Times New Roman" w:cs="Times New Roman"/>
          <w:lang w:val="en"/>
        </w:rPr>
        <w:t xml:space="preserve">suggested that </w:t>
      </w:r>
      <w:proofErr w:type="spellStart"/>
      <w:r w:rsidR="00966CBF" w:rsidRPr="00245623">
        <w:rPr>
          <w:rFonts w:ascii="Times New Roman" w:hAnsi="Times New Roman" w:cs="Times New Roman"/>
          <w:bCs/>
          <w:color w:val="000000" w:themeColor="text1"/>
          <w:lang w:val="en-US"/>
        </w:rPr>
        <w:t>mIns</w:t>
      </w:r>
      <w:proofErr w:type="spellEnd"/>
      <w:r w:rsidR="006D35C2" w:rsidRPr="00245623">
        <w:rPr>
          <w:rFonts w:ascii="Times New Roman" w:hAnsi="Times New Roman" w:cs="Times New Roman"/>
          <w:bCs/>
          <w:color w:val="000000" w:themeColor="text1"/>
          <w:lang w:val="en-US"/>
        </w:rPr>
        <w:t xml:space="preserve"> intra-cellular diffusion, measured using diffusion-weighted</w:t>
      </w:r>
      <w:r w:rsidR="00236DBC" w:rsidRPr="00245623">
        <w:rPr>
          <w:rFonts w:ascii="Times New Roman" w:hAnsi="Times New Roman" w:cs="Times New Roman"/>
          <w:bCs/>
          <w:color w:val="000000" w:themeColor="text1"/>
          <w:lang w:val="en-US"/>
        </w:rPr>
        <w:t xml:space="preserve"> </w:t>
      </w:r>
      <w:r w:rsidR="0093323D" w:rsidRPr="00245623">
        <w:rPr>
          <w:rFonts w:ascii="Times New Roman" w:hAnsi="Times New Roman" w:cs="Times New Roman"/>
          <w:bCs/>
          <w:color w:val="000000" w:themeColor="text1"/>
          <w:lang w:val="en-US"/>
        </w:rPr>
        <w:t>MRS</w:t>
      </w:r>
      <w:r w:rsidR="00236DBC" w:rsidRPr="00245623">
        <w:rPr>
          <w:rFonts w:ascii="Times New Roman" w:hAnsi="Times New Roman" w:cs="Times New Roman"/>
          <w:bCs/>
          <w:color w:val="000000" w:themeColor="text1"/>
          <w:lang w:val="en-US"/>
        </w:rPr>
        <w:t xml:space="preserve"> (</w:t>
      </w:r>
      <w:r w:rsidR="006D35C2" w:rsidRPr="00245623">
        <w:rPr>
          <w:rFonts w:ascii="Times New Roman" w:hAnsi="Times New Roman" w:cs="Times New Roman"/>
          <w:bCs/>
          <w:color w:val="000000" w:themeColor="text1"/>
          <w:lang w:val="en-US"/>
        </w:rPr>
        <w:t>DW-</w:t>
      </w:r>
      <w:r w:rsidR="00236DBC" w:rsidRPr="00245623">
        <w:rPr>
          <w:rFonts w:ascii="Times New Roman" w:hAnsi="Times New Roman" w:cs="Times New Roman"/>
          <w:bCs/>
          <w:color w:val="000000" w:themeColor="text1"/>
          <w:lang w:val="en-US"/>
        </w:rPr>
        <w:t>MRS)</w:t>
      </w:r>
      <w:r w:rsidR="006D35C2" w:rsidRPr="00245623">
        <w:rPr>
          <w:rFonts w:ascii="Times New Roman" w:hAnsi="Times New Roman" w:cs="Times New Roman"/>
          <w:bCs/>
          <w:color w:val="000000" w:themeColor="text1"/>
          <w:lang w:val="en-US"/>
        </w:rPr>
        <w:t xml:space="preserve"> in a mouse model of reactive astrocytes, </w:t>
      </w:r>
      <w:r w:rsidR="004C60F5" w:rsidRPr="00245623">
        <w:rPr>
          <w:rFonts w:ascii="Times New Roman" w:hAnsi="Times New Roman" w:cs="Times New Roman"/>
          <w:bCs/>
          <w:color w:val="000000" w:themeColor="text1"/>
          <w:lang w:val="en-US"/>
        </w:rPr>
        <w:t>could be a</w:t>
      </w:r>
      <w:r w:rsidR="0093323D" w:rsidRPr="00245623">
        <w:rPr>
          <w:rFonts w:ascii="Times New Roman" w:hAnsi="Times New Roman" w:cs="Times New Roman"/>
          <w:bCs/>
          <w:color w:val="000000" w:themeColor="text1"/>
          <w:lang w:val="en-US"/>
        </w:rPr>
        <w:t xml:space="preserve"> </w:t>
      </w:r>
      <w:r w:rsidR="006D35C2" w:rsidRPr="00245623">
        <w:rPr>
          <w:rFonts w:ascii="Times New Roman" w:hAnsi="Times New Roman" w:cs="Times New Roman"/>
          <w:bCs/>
          <w:color w:val="000000" w:themeColor="text1"/>
          <w:lang w:val="en-US"/>
        </w:rPr>
        <w:t>specific marker of astrocytic hypertrophy.</w:t>
      </w:r>
      <w:r w:rsidR="0093323D" w:rsidRPr="00245623">
        <w:rPr>
          <w:rFonts w:ascii="Times New Roman" w:hAnsi="Times New Roman" w:cs="Times New Roman"/>
          <w:bCs/>
          <w:color w:val="000000" w:themeColor="text1"/>
          <w:lang w:val="en-US"/>
        </w:rPr>
        <w:t xml:space="preserve"> In order to evaluate the specificity of </w:t>
      </w:r>
      <w:r w:rsidR="004A3074" w:rsidRPr="00245623">
        <w:rPr>
          <w:rFonts w:ascii="Times New Roman" w:hAnsi="Times New Roman" w:cs="Times New Roman"/>
          <w:bCs/>
          <w:color w:val="000000" w:themeColor="text1"/>
          <w:lang w:val="en-US"/>
        </w:rPr>
        <w:t xml:space="preserve">both </w:t>
      </w:r>
      <w:proofErr w:type="spellStart"/>
      <w:r w:rsidR="00966CBF" w:rsidRPr="00245623">
        <w:rPr>
          <w:rFonts w:ascii="Times New Roman" w:hAnsi="Times New Roman" w:cs="Times New Roman"/>
          <w:bCs/>
          <w:color w:val="000000" w:themeColor="text1"/>
          <w:lang w:val="en-US"/>
        </w:rPr>
        <w:t>mIns</w:t>
      </w:r>
      <w:proofErr w:type="spellEnd"/>
      <w:r w:rsidR="00966CBF" w:rsidRPr="00245623">
        <w:rPr>
          <w:rFonts w:ascii="Times New Roman" w:hAnsi="Times New Roman" w:cs="Times New Roman"/>
          <w:bCs/>
          <w:color w:val="000000" w:themeColor="text1"/>
          <w:lang w:val="en-US"/>
        </w:rPr>
        <w:t xml:space="preserve"> and </w:t>
      </w:r>
      <w:proofErr w:type="spellStart"/>
      <w:r w:rsidR="00966CBF" w:rsidRPr="00245623">
        <w:rPr>
          <w:rFonts w:ascii="Times New Roman" w:hAnsi="Times New Roman" w:cs="Times New Roman"/>
          <w:bCs/>
          <w:color w:val="000000" w:themeColor="text1"/>
          <w:lang w:val="en-US"/>
        </w:rPr>
        <w:t>tCho</w:t>
      </w:r>
      <w:proofErr w:type="spellEnd"/>
      <w:r w:rsidR="00F61A25" w:rsidRPr="00245623">
        <w:rPr>
          <w:rFonts w:ascii="Times New Roman" w:hAnsi="Times New Roman" w:cs="Times New Roman"/>
          <w:bCs/>
          <w:color w:val="000000" w:themeColor="text1"/>
          <w:lang w:val="en-US"/>
        </w:rPr>
        <w:t xml:space="preserve"> diffusion</w:t>
      </w:r>
      <w:r w:rsidR="0093323D" w:rsidRPr="00245623">
        <w:rPr>
          <w:rFonts w:ascii="Times New Roman" w:hAnsi="Times New Roman" w:cs="Times New Roman"/>
          <w:bCs/>
          <w:color w:val="000000" w:themeColor="text1"/>
          <w:lang w:val="en-US"/>
        </w:rPr>
        <w:t xml:space="preserve"> to </w:t>
      </w:r>
      <w:r w:rsidR="00F61A25" w:rsidRPr="00245623">
        <w:rPr>
          <w:rFonts w:ascii="Times New Roman" w:hAnsi="Times New Roman" w:cs="Times New Roman"/>
          <w:bCs/>
          <w:color w:val="000000" w:themeColor="text1"/>
          <w:lang w:val="en-US"/>
        </w:rPr>
        <w:t>inflammation-driven glial alterations,</w:t>
      </w:r>
      <w:r w:rsidR="006D35C2" w:rsidRPr="00245623">
        <w:rPr>
          <w:rFonts w:ascii="Times New Roman" w:hAnsi="Times New Roman" w:cs="Times New Roman"/>
          <w:bCs/>
          <w:color w:val="000000" w:themeColor="text1"/>
          <w:lang w:val="en-US"/>
        </w:rPr>
        <w:t xml:space="preserve"> we performed DW-MRS in </w:t>
      </w:r>
      <w:r w:rsidR="00425B57" w:rsidRPr="00245623">
        <w:rPr>
          <w:rFonts w:ascii="Times New Roman" w:hAnsi="Times New Roman" w:cs="Times New Roman"/>
          <w:bCs/>
          <w:color w:val="000000" w:themeColor="text1"/>
          <w:lang w:val="en-US"/>
        </w:rPr>
        <w:t>a volume of interest containing</w:t>
      </w:r>
      <w:r w:rsidR="005777D0" w:rsidRPr="00245623">
        <w:rPr>
          <w:rFonts w:ascii="Times New Roman" w:hAnsi="Times New Roman" w:cs="Times New Roman"/>
          <w:bCs/>
          <w:color w:val="000000" w:themeColor="text1"/>
          <w:lang w:val="en-US"/>
        </w:rPr>
        <w:t xml:space="preserve"> </w:t>
      </w:r>
      <w:r w:rsidR="00345FEE" w:rsidRPr="00245623">
        <w:rPr>
          <w:rFonts w:ascii="Times New Roman" w:hAnsi="Times New Roman" w:cs="Times New Roman"/>
          <w:bCs/>
          <w:color w:val="000000" w:themeColor="text1"/>
          <w:lang w:val="en-US"/>
        </w:rPr>
        <w:t xml:space="preserve">the </w:t>
      </w:r>
      <w:r w:rsidR="00F61A25" w:rsidRPr="00245623">
        <w:rPr>
          <w:rFonts w:ascii="Times New Roman" w:hAnsi="Times New Roman" w:cs="Times New Roman"/>
          <w:bCs/>
          <w:color w:val="000000" w:themeColor="text1"/>
          <w:lang w:val="en-US"/>
        </w:rPr>
        <w:t xml:space="preserve">corpus callosum </w:t>
      </w:r>
      <w:r w:rsidR="00425B57" w:rsidRPr="00245623">
        <w:rPr>
          <w:rFonts w:ascii="Times New Roman" w:hAnsi="Times New Roman" w:cs="Times New Roman"/>
          <w:bCs/>
          <w:color w:val="000000" w:themeColor="text1"/>
          <w:lang w:val="en-US"/>
        </w:rPr>
        <w:t>and</w:t>
      </w:r>
      <w:r w:rsidR="005777D0" w:rsidRPr="00245623">
        <w:rPr>
          <w:rFonts w:ascii="Times New Roman" w:hAnsi="Times New Roman" w:cs="Times New Roman"/>
          <w:bCs/>
          <w:color w:val="000000" w:themeColor="text1"/>
          <w:lang w:val="en-US"/>
        </w:rPr>
        <w:t xml:space="preserve"> </w:t>
      </w:r>
      <w:r w:rsidR="00425B57" w:rsidRPr="00245623">
        <w:rPr>
          <w:rFonts w:ascii="Times New Roman" w:hAnsi="Times New Roman" w:cs="Times New Roman"/>
          <w:bCs/>
          <w:color w:val="000000" w:themeColor="text1"/>
          <w:lang w:val="en-US"/>
        </w:rPr>
        <w:t xml:space="preserve">surrounding tissue </w:t>
      </w:r>
      <w:r w:rsidR="00F61A25" w:rsidRPr="00245623">
        <w:rPr>
          <w:rFonts w:ascii="Times New Roman" w:hAnsi="Times New Roman" w:cs="Times New Roman"/>
          <w:bCs/>
          <w:color w:val="000000" w:themeColor="text1"/>
          <w:lang w:val="en-US"/>
        </w:rPr>
        <w:t xml:space="preserve">of </w:t>
      </w:r>
      <w:r w:rsidR="006D35C2" w:rsidRPr="00245623">
        <w:rPr>
          <w:rFonts w:ascii="Times New Roman" w:hAnsi="Times New Roman" w:cs="Times New Roman"/>
          <w:bCs/>
          <w:color w:val="000000" w:themeColor="text1"/>
          <w:lang w:val="en-US"/>
        </w:rPr>
        <w:t>cuprizone</w:t>
      </w:r>
      <w:r w:rsidR="00F61A25" w:rsidRPr="00245623">
        <w:rPr>
          <w:rFonts w:ascii="Times New Roman" w:hAnsi="Times New Roman" w:cs="Times New Roman"/>
          <w:bCs/>
          <w:color w:val="000000" w:themeColor="text1"/>
          <w:lang w:val="en-US"/>
        </w:rPr>
        <w:t>-fed</w:t>
      </w:r>
      <w:r w:rsidR="006D35C2" w:rsidRPr="00245623">
        <w:rPr>
          <w:rFonts w:ascii="Times New Roman" w:hAnsi="Times New Roman" w:cs="Times New Roman"/>
          <w:bCs/>
          <w:color w:val="000000" w:themeColor="text1"/>
          <w:lang w:val="en-US"/>
        </w:rPr>
        <w:t xml:space="preserve"> mice after 6 weeks of intoxication</w:t>
      </w:r>
      <w:r w:rsidR="00425B57" w:rsidRPr="00245623">
        <w:rPr>
          <w:rFonts w:ascii="Times New Roman" w:hAnsi="Times New Roman" w:cs="Times New Roman"/>
          <w:bCs/>
          <w:color w:val="000000" w:themeColor="text1"/>
          <w:lang w:val="en-US"/>
        </w:rPr>
        <w:t>,</w:t>
      </w:r>
      <w:r w:rsidR="00F61A25" w:rsidRPr="00245623">
        <w:rPr>
          <w:rFonts w:ascii="Times New Roman" w:hAnsi="Times New Roman" w:cs="Times New Roman"/>
          <w:bCs/>
          <w:color w:val="000000" w:themeColor="text1"/>
          <w:lang w:val="en-US"/>
        </w:rPr>
        <w:t xml:space="preserve"> and </w:t>
      </w:r>
      <w:r w:rsidR="00E36F8D" w:rsidRPr="00245623">
        <w:rPr>
          <w:rFonts w:ascii="Times New Roman" w:hAnsi="Times New Roman" w:cs="Times New Roman"/>
          <w:bCs/>
          <w:color w:val="000000" w:themeColor="text1"/>
          <w:lang w:val="en-US"/>
        </w:rPr>
        <w:t>evaluated the extent of</w:t>
      </w:r>
      <w:r w:rsidR="00F61A25" w:rsidRPr="00245623">
        <w:rPr>
          <w:rFonts w:ascii="Times New Roman" w:hAnsi="Times New Roman" w:cs="Times New Roman"/>
          <w:bCs/>
          <w:color w:val="000000" w:themeColor="text1"/>
          <w:lang w:val="en-US"/>
        </w:rPr>
        <w:t xml:space="preserve"> astrocytic and microglial alterations using immunohistochemistry. Both</w:t>
      </w:r>
      <w:r w:rsidR="00966CBF" w:rsidRPr="00245623">
        <w:rPr>
          <w:rFonts w:ascii="Times New Roman" w:hAnsi="Times New Roman" w:cs="Times New Roman"/>
          <w:bCs/>
          <w:color w:val="000000" w:themeColor="text1"/>
          <w:lang w:val="en-US"/>
        </w:rPr>
        <w:t xml:space="preserve"> </w:t>
      </w:r>
      <w:proofErr w:type="spellStart"/>
      <w:r w:rsidR="00966CBF" w:rsidRPr="00245623">
        <w:rPr>
          <w:rFonts w:ascii="Times New Roman" w:hAnsi="Times New Roman" w:cs="Times New Roman"/>
          <w:bCs/>
          <w:color w:val="000000" w:themeColor="text1"/>
          <w:lang w:val="en-US"/>
        </w:rPr>
        <w:t>mIns</w:t>
      </w:r>
      <w:proofErr w:type="spellEnd"/>
      <w:r w:rsidR="00966CBF" w:rsidRPr="00245623">
        <w:rPr>
          <w:rFonts w:ascii="Times New Roman" w:hAnsi="Times New Roman" w:cs="Times New Roman"/>
          <w:bCs/>
          <w:color w:val="000000" w:themeColor="text1"/>
          <w:lang w:val="en-US"/>
        </w:rPr>
        <w:t xml:space="preserve"> and </w:t>
      </w:r>
      <w:proofErr w:type="spellStart"/>
      <w:r w:rsidR="00966CBF" w:rsidRPr="00245623">
        <w:rPr>
          <w:rFonts w:ascii="Times New Roman" w:hAnsi="Times New Roman" w:cs="Times New Roman"/>
          <w:bCs/>
          <w:color w:val="000000" w:themeColor="text1"/>
          <w:lang w:val="en-US"/>
        </w:rPr>
        <w:t>tCho</w:t>
      </w:r>
      <w:proofErr w:type="spellEnd"/>
      <w:r w:rsidR="00966CBF" w:rsidRPr="00245623">
        <w:rPr>
          <w:rFonts w:ascii="Times New Roman" w:hAnsi="Times New Roman" w:cs="Times New Roman"/>
          <w:bCs/>
          <w:color w:val="000000" w:themeColor="text1"/>
          <w:lang w:val="en-US"/>
        </w:rPr>
        <w:t xml:space="preserve"> </w:t>
      </w:r>
      <w:r w:rsidR="00F61A25" w:rsidRPr="00245623">
        <w:rPr>
          <w:rFonts w:ascii="Times New Roman" w:hAnsi="Times New Roman" w:cs="Times New Roman"/>
          <w:bCs/>
          <w:color w:val="000000" w:themeColor="text1"/>
          <w:lang w:val="en-US"/>
        </w:rPr>
        <w:t>apparent diffusion coefficients were significantly elevated in cuprizone-fed mice compared to control mice</w:t>
      </w:r>
      <w:r w:rsidR="00966CBF" w:rsidRPr="00245623">
        <w:rPr>
          <w:rFonts w:ascii="Times New Roman" w:hAnsi="Times New Roman" w:cs="Times New Roman"/>
          <w:bCs/>
          <w:color w:val="000000" w:themeColor="text1"/>
          <w:lang w:val="en-US"/>
        </w:rPr>
        <w:t>,</w:t>
      </w:r>
      <w:r w:rsidR="00E36F8D" w:rsidRPr="00245623">
        <w:rPr>
          <w:rFonts w:ascii="Times New Roman" w:hAnsi="Times New Roman" w:cs="Times New Roman"/>
          <w:bCs/>
          <w:color w:val="000000" w:themeColor="text1"/>
          <w:lang w:val="en-US"/>
        </w:rPr>
        <w:t xml:space="preserve"> </w:t>
      </w:r>
      <w:r w:rsidR="00966CBF" w:rsidRPr="00245623">
        <w:rPr>
          <w:rFonts w:ascii="Times New Roman" w:hAnsi="Times New Roman" w:cs="Times New Roman"/>
          <w:bCs/>
          <w:color w:val="000000" w:themeColor="text1"/>
          <w:lang w:val="en-US"/>
        </w:rPr>
        <w:t>while</w:t>
      </w:r>
      <w:r w:rsidR="00E36F8D" w:rsidRPr="00245623">
        <w:rPr>
          <w:rFonts w:ascii="Times New Roman" w:hAnsi="Times New Roman" w:cs="Times New Roman"/>
          <w:bCs/>
          <w:color w:val="000000" w:themeColor="text1"/>
          <w:lang w:val="en-US"/>
        </w:rPr>
        <w:t xml:space="preserve"> histologic evaluation confirmed the presence of severe inflammation.</w:t>
      </w:r>
      <w:r w:rsidR="00F61A25" w:rsidRPr="00245623">
        <w:rPr>
          <w:rFonts w:ascii="Times New Roman" w:hAnsi="Times New Roman" w:cs="Times New Roman"/>
          <w:bCs/>
          <w:color w:val="000000" w:themeColor="text1"/>
          <w:lang w:val="en-US"/>
        </w:rPr>
        <w:t xml:space="preserve"> </w:t>
      </w:r>
      <w:r w:rsidR="00F63BFB" w:rsidRPr="00245623">
        <w:rPr>
          <w:rFonts w:ascii="Times New Roman" w:hAnsi="Times New Roman" w:cs="Times New Roman"/>
          <w:bCs/>
          <w:color w:val="000000" w:themeColor="text1"/>
          <w:lang w:val="en-US"/>
        </w:rPr>
        <w:t>Additionally</w:t>
      </w:r>
      <w:r w:rsidR="004A3074" w:rsidRPr="00245623">
        <w:rPr>
          <w:rFonts w:ascii="Times New Roman" w:hAnsi="Times New Roman" w:cs="Times New Roman"/>
          <w:bCs/>
          <w:color w:val="000000" w:themeColor="text1"/>
          <w:lang w:val="en-US"/>
        </w:rPr>
        <w:t>,</w:t>
      </w:r>
      <w:r w:rsidR="00966CBF" w:rsidRPr="00245623">
        <w:rPr>
          <w:rFonts w:ascii="Times New Roman" w:hAnsi="Times New Roman" w:cs="Times New Roman"/>
          <w:bCs/>
          <w:color w:val="000000" w:themeColor="text1"/>
          <w:lang w:val="en-US"/>
        </w:rPr>
        <w:t xml:space="preserve"> </w:t>
      </w:r>
      <w:proofErr w:type="spellStart"/>
      <w:r w:rsidR="00966CBF" w:rsidRPr="00245623">
        <w:rPr>
          <w:rFonts w:ascii="Times New Roman" w:hAnsi="Times New Roman" w:cs="Times New Roman"/>
          <w:bCs/>
          <w:color w:val="000000" w:themeColor="text1"/>
          <w:lang w:val="en-US"/>
        </w:rPr>
        <w:t>mIns</w:t>
      </w:r>
      <w:proofErr w:type="spellEnd"/>
      <w:r w:rsidR="00966CBF" w:rsidRPr="00245623">
        <w:rPr>
          <w:rFonts w:ascii="Times New Roman" w:hAnsi="Times New Roman" w:cs="Times New Roman"/>
          <w:bCs/>
          <w:color w:val="000000" w:themeColor="text1"/>
          <w:lang w:val="en-US"/>
        </w:rPr>
        <w:t xml:space="preserve"> and </w:t>
      </w:r>
      <w:proofErr w:type="spellStart"/>
      <w:r w:rsidR="00966CBF" w:rsidRPr="00245623">
        <w:rPr>
          <w:rFonts w:ascii="Times New Roman" w:hAnsi="Times New Roman" w:cs="Times New Roman"/>
          <w:bCs/>
          <w:color w:val="000000" w:themeColor="text1"/>
          <w:lang w:val="en-US"/>
        </w:rPr>
        <w:t>tCho</w:t>
      </w:r>
      <w:proofErr w:type="spellEnd"/>
      <w:r w:rsidR="00966CBF" w:rsidRPr="00245623">
        <w:rPr>
          <w:rFonts w:ascii="Times New Roman" w:hAnsi="Times New Roman" w:cs="Times New Roman"/>
          <w:bCs/>
          <w:color w:val="000000" w:themeColor="text1"/>
          <w:lang w:val="en-US"/>
        </w:rPr>
        <w:t xml:space="preserve"> </w:t>
      </w:r>
      <w:r w:rsidR="004A3074" w:rsidRPr="00245623">
        <w:rPr>
          <w:rFonts w:ascii="Times New Roman" w:hAnsi="Times New Roman" w:cs="Times New Roman"/>
          <w:bCs/>
          <w:color w:val="000000" w:themeColor="text1"/>
          <w:lang w:val="en-US"/>
        </w:rPr>
        <w:t xml:space="preserve">diffusion </w:t>
      </w:r>
      <w:r w:rsidR="00966CBF" w:rsidRPr="00245623">
        <w:rPr>
          <w:rFonts w:ascii="Times New Roman" w:hAnsi="Times New Roman" w:cs="Times New Roman"/>
          <w:bCs/>
          <w:color w:val="000000" w:themeColor="text1"/>
          <w:lang w:val="en-US"/>
        </w:rPr>
        <w:t>showed</w:t>
      </w:r>
      <w:r w:rsidR="00F63BFB" w:rsidRPr="00245623">
        <w:rPr>
          <w:rFonts w:ascii="Times New Roman" w:hAnsi="Times New Roman" w:cs="Times New Roman"/>
          <w:bCs/>
          <w:color w:val="000000" w:themeColor="text1"/>
          <w:lang w:val="en-US"/>
        </w:rPr>
        <w:t>,</w:t>
      </w:r>
      <w:r w:rsidR="00966CBF" w:rsidRPr="00245623">
        <w:rPr>
          <w:rFonts w:ascii="Times New Roman" w:hAnsi="Times New Roman" w:cs="Times New Roman"/>
          <w:bCs/>
          <w:color w:val="000000" w:themeColor="text1"/>
          <w:lang w:val="en-US"/>
        </w:rPr>
        <w:t xml:space="preserve"> </w:t>
      </w:r>
      <w:r w:rsidR="00F63BFB" w:rsidRPr="00245623">
        <w:rPr>
          <w:rFonts w:ascii="Times New Roman" w:hAnsi="Times New Roman" w:cs="Times New Roman"/>
          <w:bCs/>
          <w:color w:val="000000" w:themeColor="text1"/>
          <w:lang w:val="en-US"/>
        </w:rPr>
        <w:t xml:space="preserve">respectively, </w:t>
      </w:r>
      <w:r w:rsidR="00966CBF" w:rsidRPr="00245623">
        <w:rPr>
          <w:rFonts w:ascii="Times New Roman" w:hAnsi="Times New Roman" w:cs="Times New Roman"/>
          <w:bCs/>
          <w:color w:val="000000" w:themeColor="text1"/>
          <w:lang w:val="en-US"/>
        </w:rPr>
        <w:t>strong and moderate correlations</w:t>
      </w:r>
      <w:r w:rsidR="00F63BFB" w:rsidRPr="00245623">
        <w:rPr>
          <w:rFonts w:ascii="Times New Roman" w:hAnsi="Times New Roman" w:cs="Times New Roman"/>
          <w:bCs/>
          <w:color w:val="000000" w:themeColor="text1"/>
          <w:lang w:val="en-US"/>
        </w:rPr>
        <w:t xml:space="preserve"> </w:t>
      </w:r>
      <w:r w:rsidR="00966CBF" w:rsidRPr="00245623">
        <w:rPr>
          <w:rFonts w:ascii="Times New Roman" w:hAnsi="Times New Roman" w:cs="Times New Roman"/>
          <w:bCs/>
          <w:color w:val="000000" w:themeColor="text1"/>
          <w:lang w:val="en-US"/>
        </w:rPr>
        <w:t xml:space="preserve">with </w:t>
      </w:r>
      <w:r w:rsidR="00E36F8D" w:rsidRPr="00245623">
        <w:rPr>
          <w:rFonts w:ascii="Times New Roman" w:hAnsi="Times New Roman" w:cs="Times New Roman"/>
          <w:bCs/>
          <w:color w:val="000000" w:themeColor="text1"/>
          <w:lang w:val="en-US"/>
        </w:rPr>
        <w:t>histological measures of astrocytic and microglial area fractions</w:t>
      </w:r>
      <w:r w:rsidR="00966CBF" w:rsidRPr="00245623">
        <w:rPr>
          <w:rFonts w:ascii="Times New Roman" w:hAnsi="Times New Roman" w:cs="Times New Roman"/>
          <w:bCs/>
          <w:color w:val="000000" w:themeColor="text1"/>
          <w:lang w:val="en-US"/>
        </w:rPr>
        <w:t xml:space="preserve">, confirming </w:t>
      </w:r>
      <w:r w:rsidR="00F63BFB" w:rsidRPr="00245623">
        <w:rPr>
          <w:rFonts w:ascii="Times New Roman" w:hAnsi="Times New Roman" w:cs="Times New Roman"/>
          <w:bCs/>
          <w:color w:val="000000" w:themeColor="text1"/>
          <w:lang w:val="en-US"/>
        </w:rPr>
        <w:t xml:space="preserve">DW-MRS as a promising tool for specific detection of glial changes under pathological conditions. </w:t>
      </w:r>
    </w:p>
    <w:p w14:paraId="1CD935E9" w14:textId="77777777" w:rsidR="00D11676" w:rsidRPr="00245623" w:rsidRDefault="00D11676" w:rsidP="005C1F44">
      <w:pPr>
        <w:pStyle w:val="Standard"/>
        <w:spacing w:line="240" w:lineRule="auto"/>
        <w:rPr>
          <w:rFonts w:ascii="Times New Roman" w:hAnsi="Times New Roman" w:cs="Times New Roman"/>
          <w:b/>
          <w:bCs/>
          <w:color w:val="000000" w:themeColor="text1"/>
          <w:sz w:val="28"/>
          <w:lang w:val="en-US"/>
        </w:rPr>
      </w:pPr>
    </w:p>
    <w:p w14:paraId="33632381" w14:textId="0E1C8873" w:rsidR="003D7A39" w:rsidRPr="00245623" w:rsidRDefault="003D7A39">
      <w:pPr>
        <w:jc w:val="both"/>
        <w:rPr>
          <w:b/>
          <w:bCs/>
          <w:color w:val="000000" w:themeColor="text1"/>
          <w:sz w:val="28"/>
          <w:lang w:val="en-US"/>
        </w:rPr>
      </w:pPr>
    </w:p>
    <w:p w14:paraId="77AB6902" w14:textId="0159F33A" w:rsidR="00601BCE" w:rsidRPr="00245623" w:rsidRDefault="00601BCE">
      <w:pPr>
        <w:jc w:val="both"/>
        <w:rPr>
          <w:b/>
          <w:bCs/>
          <w:color w:val="000000" w:themeColor="text1"/>
          <w:sz w:val="28"/>
          <w:lang w:val="en-US"/>
        </w:rPr>
      </w:pPr>
    </w:p>
    <w:p w14:paraId="72D49BE2" w14:textId="0EDD49A5" w:rsidR="00601BCE" w:rsidRPr="00245623" w:rsidRDefault="00601BCE">
      <w:pPr>
        <w:jc w:val="both"/>
        <w:rPr>
          <w:b/>
          <w:bCs/>
          <w:color w:val="000000" w:themeColor="text1"/>
          <w:sz w:val="28"/>
          <w:lang w:val="en-US"/>
        </w:rPr>
      </w:pPr>
    </w:p>
    <w:p w14:paraId="5A5F0646" w14:textId="471D78A4" w:rsidR="004028FE" w:rsidRPr="00245623" w:rsidRDefault="004028FE">
      <w:pPr>
        <w:jc w:val="both"/>
        <w:rPr>
          <w:b/>
          <w:bCs/>
          <w:color w:val="000000" w:themeColor="text1"/>
          <w:sz w:val="28"/>
          <w:lang w:val="en-US"/>
        </w:rPr>
      </w:pPr>
    </w:p>
    <w:p w14:paraId="50A9F9F4" w14:textId="51573441" w:rsidR="004028FE" w:rsidRPr="00245623" w:rsidRDefault="004028FE">
      <w:pPr>
        <w:jc w:val="both"/>
        <w:rPr>
          <w:b/>
          <w:bCs/>
          <w:color w:val="000000" w:themeColor="text1"/>
          <w:sz w:val="28"/>
          <w:lang w:val="en-US"/>
        </w:rPr>
      </w:pPr>
    </w:p>
    <w:p w14:paraId="197C7DB4" w14:textId="33E17AA4" w:rsidR="004028FE" w:rsidRPr="00245623" w:rsidRDefault="004028FE">
      <w:pPr>
        <w:jc w:val="both"/>
        <w:rPr>
          <w:b/>
          <w:bCs/>
          <w:color w:val="000000" w:themeColor="text1"/>
          <w:sz w:val="28"/>
          <w:lang w:val="en-US"/>
        </w:rPr>
      </w:pPr>
    </w:p>
    <w:p w14:paraId="6C2AAB09" w14:textId="6E864AC9" w:rsidR="004028FE" w:rsidRPr="00245623" w:rsidRDefault="004028FE">
      <w:pPr>
        <w:jc w:val="both"/>
        <w:rPr>
          <w:b/>
          <w:bCs/>
          <w:color w:val="000000" w:themeColor="text1"/>
          <w:sz w:val="28"/>
          <w:lang w:val="en-US"/>
        </w:rPr>
      </w:pPr>
    </w:p>
    <w:p w14:paraId="30F005CB" w14:textId="66FDBD63" w:rsidR="004028FE" w:rsidRPr="00245623" w:rsidRDefault="004028FE">
      <w:pPr>
        <w:jc w:val="both"/>
        <w:rPr>
          <w:b/>
          <w:bCs/>
          <w:color w:val="000000" w:themeColor="text1"/>
          <w:sz w:val="28"/>
          <w:lang w:val="en-US"/>
        </w:rPr>
      </w:pPr>
    </w:p>
    <w:p w14:paraId="2F575FB3" w14:textId="77777777" w:rsidR="004028FE" w:rsidRPr="00245623" w:rsidRDefault="004028FE">
      <w:pPr>
        <w:jc w:val="both"/>
        <w:rPr>
          <w:b/>
          <w:bCs/>
          <w:color w:val="000000" w:themeColor="text1"/>
          <w:sz w:val="28"/>
          <w:lang w:val="en-US"/>
        </w:rPr>
      </w:pPr>
    </w:p>
    <w:p w14:paraId="2F5E66A2" w14:textId="77777777" w:rsidR="00601BCE" w:rsidRPr="00245623" w:rsidRDefault="00601BCE">
      <w:pPr>
        <w:jc w:val="both"/>
        <w:rPr>
          <w:b/>
          <w:bCs/>
          <w:color w:val="000000" w:themeColor="text1"/>
          <w:sz w:val="28"/>
          <w:lang w:val="en-US"/>
        </w:rPr>
      </w:pPr>
    </w:p>
    <w:p w14:paraId="7D55E207" w14:textId="79552E65" w:rsidR="00BE7097" w:rsidRPr="00245623" w:rsidRDefault="00EE520D" w:rsidP="006B5E60">
      <w:pPr>
        <w:pStyle w:val="Paragraphedeliste"/>
        <w:numPr>
          <w:ilvl w:val="0"/>
          <w:numId w:val="3"/>
        </w:numPr>
        <w:jc w:val="both"/>
        <w:rPr>
          <w:b/>
          <w:bCs/>
          <w:sz w:val="28"/>
          <w:lang w:val="en-US"/>
        </w:rPr>
      </w:pPr>
      <w:r w:rsidRPr="00245623">
        <w:rPr>
          <w:b/>
          <w:bCs/>
          <w:color w:val="000000" w:themeColor="text1"/>
          <w:sz w:val="28"/>
          <w:lang w:val="en-US"/>
        </w:rPr>
        <w:t>Introduction</w:t>
      </w:r>
    </w:p>
    <w:p w14:paraId="62CD2266" w14:textId="77777777" w:rsidR="00BE7097" w:rsidRPr="00245623" w:rsidRDefault="00BE7097">
      <w:pPr>
        <w:jc w:val="both"/>
        <w:rPr>
          <w:color w:val="000000" w:themeColor="text1"/>
          <w:lang w:val="en-US"/>
        </w:rPr>
      </w:pPr>
    </w:p>
    <w:p w14:paraId="72AD86A2" w14:textId="2380F0BB" w:rsidR="00BE7097" w:rsidRPr="00245623" w:rsidRDefault="00EE520D">
      <w:pPr>
        <w:spacing w:line="480" w:lineRule="auto"/>
        <w:jc w:val="both"/>
        <w:rPr>
          <w:color w:val="000000" w:themeColor="text1"/>
          <w:lang w:val="en-US"/>
        </w:rPr>
      </w:pPr>
      <w:r w:rsidRPr="00245623">
        <w:rPr>
          <w:color w:val="000000" w:themeColor="text1"/>
          <w:lang w:val="en-US"/>
        </w:rPr>
        <w:t>Inflammation is the immune system’s response to various pathological conditions such as the presence of toxic compounds, damaged cells</w:t>
      </w:r>
      <w:r w:rsidR="00240B0C" w:rsidRPr="00245623">
        <w:rPr>
          <w:color w:val="000000" w:themeColor="text1"/>
          <w:lang w:val="en-US"/>
        </w:rPr>
        <w:t>,</w:t>
      </w:r>
      <w:r w:rsidRPr="00245623">
        <w:rPr>
          <w:color w:val="000000" w:themeColor="text1"/>
          <w:lang w:val="en-US"/>
        </w:rPr>
        <w:t xml:space="preserve"> or pathogens</w:t>
      </w:r>
      <w:r w:rsidR="00CF73B5" w:rsidRPr="00245623">
        <w:rPr>
          <w:color w:val="000000" w:themeColor="text1"/>
          <w:lang w:val="en-US"/>
        </w:rPr>
        <w:t>,</w:t>
      </w:r>
      <w:r w:rsidRPr="00245623">
        <w:rPr>
          <w:color w:val="000000" w:themeColor="text1"/>
          <w:lang w:val="en-US"/>
        </w:rPr>
        <w:t xml:space="preserve"> and it is a common denominator of several brain diseases. Brain inflammatory response</w:t>
      </w:r>
      <w:r w:rsidR="00A30EC1" w:rsidRPr="00245623">
        <w:rPr>
          <w:color w:val="000000" w:themeColor="text1"/>
          <w:lang w:val="en-US"/>
        </w:rPr>
        <w:t>s</w:t>
      </w:r>
      <w:r w:rsidRPr="00245623">
        <w:rPr>
          <w:color w:val="000000" w:themeColor="text1"/>
          <w:lang w:val="en-US"/>
        </w:rPr>
        <w:t xml:space="preserve"> involve a cascade of complex mechanisms including glial cell activation and it has been suggested to have both detrimental and beneficial effects</w:t>
      </w:r>
      <w:r w:rsidR="00BA76C6" w:rsidRPr="00245623">
        <w:rPr>
          <w:color w:val="000000" w:themeColor="text1"/>
          <w:lang w:val="en-US"/>
        </w:rPr>
        <w:fldChar w:fldCharType="begin"/>
      </w:r>
      <w:r w:rsidR="00AC7306" w:rsidRPr="00245623">
        <w:rPr>
          <w:color w:val="000000" w:themeColor="text1"/>
          <w:lang w:val="en-US"/>
        </w:rPr>
        <w:instrText xml:space="preserve"> ADDIN ZOTERO_ITEM CSL_CITATION {"citationID":"MwDHSvXv","properties":{"formattedCitation":"\\super 1,2\\nosupersub{}","plainCitation":"1,2","noteIndex":0},"citationItems":[{"id":559,"uris":["http://zotero.org/users/local/JiswOD7j/items/E37JSK5P"],"uri":["http://zotero.org/users/local/JiswOD7j/items/E37JSK5P"],"itemData":{"id":559,"type":"article-journal","container-title":"The Lancet Neurology","DOI":"10.1016/S1474-4422(02)00223-5","ISSN":"14744422","issue":"8","journalAbbreviation":"The Lancet Neurology","language":"en","page":"499-509","source":"DOI.org (Crossref)","title":"Inflammation in multiple sclerosis: the good, the bad, and the complex","title-short":"Inflammation in multiple sclerosis","volume":"1","author":[{"family":"Martino","given":"Gianvito"},{"family":"Adorini","given":"Luciano"},{"family":"Rieckmann","given":"Peter"},{"family":"Hillert","given":"Jan"},{"family":"Kallmann","given":"Boris"},{"family":"Comi","given":"Giancarlo"},{"family":"Filippi","given":"Massimo"}],"issued":{"date-parts":[["2002",12]]}},"label":"page"},{"id":561,"uris":["http://zotero.org/users/local/JiswOD7j/items/ZUAKM96U"],"uri":["http://zotero.org/users/local/JiswOD7j/items/ZUAKM96U"],"itemData":{"id":561,"type":"article-journal","abstract":"Inflammatory reactions could be both beneficial and detrimental to the brain, depending on strengths of their activation in various stages of neurodegeneration. Mild activation of microglia and astrocytes usually reveals neuroprotective effects and ameliorates early symptoms of neurodegeneration; for instance, released cytokines help maintain synaptic plasticity and modulate neuronal excitability, and stimulated toll-like receptors (TLRs) promote neurogenesis and neurite outgrowth. However, strong activation of glial cells gives rise to cytokine overexpression/dysregulation, which accelerates neurodegeneration. Altered mutual regulation of p53 protein, a major tumor suppressor, and NF-κB, the major regulator of inflammation, seems to be crucial for the shift from beneficial to detrimental effects of neuroinflammatory reactions in neurodegeneration. Therapeutic intervention in the p53-NF-κB axis and modulation of TLR activity are future challenges to cope with neurodegeneration.","container-title":"Molecular Neurobiology","DOI":"10.1007/s12035-016-0297-1","ISSN":"0893-7648, 1559-1182","issue":"10","journalAbbreviation":"Mol Neurobiol","language":"en","page":"8071-8089","source":"DOI.org (Crossref)","title":"Inflammatory Response in the CNS: Friend or Foe?","title-short":"Inflammatory Response in the CNS","volume":"54","author":[{"family":"Sochocka","given":"Marta"},{"family":"Diniz","given":"Breno Satler"},{"family":"Leszek","given":"Jerzy"}],"issued":{"date-parts":[["2017",12]]}},"label":"page"}],"schema":"https://github.com/citation-style-language/schema/raw/master/csl-citation.json"} </w:instrText>
      </w:r>
      <w:r w:rsidR="00BA76C6" w:rsidRPr="00245623">
        <w:rPr>
          <w:color w:val="000000" w:themeColor="text1"/>
          <w:lang w:val="en-US"/>
        </w:rPr>
        <w:fldChar w:fldCharType="separate"/>
      </w:r>
      <w:r w:rsidR="00AC7306" w:rsidRPr="00245623">
        <w:rPr>
          <w:color w:val="000000"/>
          <w:vertAlign w:val="superscript"/>
          <w:lang w:val="en-US"/>
        </w:rPr>
        <w:t>1,2</w:t>
      </w:r>
      <w:r w:rsidR="00BA76C6" w:rsidRPr="00245623">
        <w:rPr>
          <w:color w:val="000000" w:themeColor="text1"/>
          <w:lang w:val="en-US"/>
        </w:rPr>
        <w:fldChar w:fldCharType="end"/>
      </w:r>
      <w:r w:rsidRPr="00245623">
        <w:rPr>
          <w:color w:val="000000" w:themeColor="text1"/>
          <w:lang w:val="en-US"/>
        </w:rPr>
        <w:t xml:space="preserve">. </w:t>
      </w:r>
      <w:r w:rsidRPr="00245623">
        <w:rPr>
          <w:color w:val="000000"/>
          <w:lang w:val="en-US"/>
        </w:rPr>
        <w:t xml:space="preserve">While acute inflammatory processes </w:t>
      </w:r>
      <w:r w:rsidR="00681847" w:rsidRPr="00245623">
        <w:rPr>
          <w:color w:val="000000"/>
          <w:lang w:val="en-US"/>
        </w:rPr>
        <w:t xml:space="preserve">are thought to </w:t>
      </w:r>
      <w:r w:rsidRPr="00245623">
        <w:rPr>
          <w:color w:val="000000"/>
          <w:lang w:val="en-US"/>
        </w:rPr>
        <w:t xml:space="preserve">minimize ongoing injury or infection and facilitate restoration of tissue homeostasis, chronic inflammation may lead to secondary injury and contribute to neurodegeneration </w:t>
      </w:r>
      <w:r w:rsidR="00BA76C6" w:rsidRPr="00245623">
        <w:rPr>
          <w:color w:val="000000"/>
          <w:lang w:val="en-US"/>
        </w:rPr>
        <w:fldChar w:fldCharType="begin"/>
      </w:r>
      <w:r w:rsidR="00AC7306" w:rsidRPr="00245623">
        <w:rPr>
          <w:color w:val="000000"/>
          <w:lang w:val="en-US"/>
        </w:rPr>
        <w:instrText xml:space="preserve"> ADDIN ZOTERO_ITEM CSL_CITATION {"citationID":"XoFf82Tb","properties":{"formattedCitation":"\\super 3,4\\nosupersub{}","plainCitation":"3,4","noteIndex":0},"citationItems":[{"id":564,"uris":["http://zotero.org/users/local/JiswOD7j/items/TA3VJ7TQ"],"uri":["http://zotero.org/users/local/JiswOD7j/items/TA3VJ7TQ"],"itemData":{"id":564,"type":"article-journal","abstract":"Neuroinflammation is involved in several neurodegenerative disorders and emerging evidence indicates that it constitutes a critical process that is required for the progression of neurodegeneration. Microglial activation constitutes a central event in neuroinflammation. Furthermore, microglia can not only be activated with an inflammatory and neurotoxic phenotype (M1-like phenotype), but they also can acquire a neurosupportive functional phenotype (M2-like phenotype) characterised by the production of anti-inflammatory mediators and neurotrophic factors. Importantly, during the past decade, several studies have shown that CD4+ T-cells infiltrate the central nervous system (CNS) in many neurodegenerative disorders, in which their participation has a critical influence on the outcome of microglial activation and consequent neurodegeneration. In this review, we focus on the analysis of the interplay of the different sub-populations of CD4+ T-cells infiltrating the CNS and how they participate in regulating the outcome of neuroinflammation and neurodegeneration in the context of Parkinson’s disease, Alzheimer’s disease, amyotrophic lateral sclerosis and multiple sclerosis. In this regard, encephalitogenic inflammatory CD4+ T-cells, such as Th1, Th17, GM-CSF-producer CD4+ T-cells and γδT-cells, strongly contribute to chronic neuroinflammation, thus perpetuating neurodegenerative processes. In contrast, encephalitogenic or meningeal Tregs and Th2 cells decrease inflammatory functions in microglial cells and promote a neurosupportive microenvironment. Moreover, whereas some neurodegenerative disorders such as multiple sclerosis, Parkinson’s disease and Alzheimer’s disease involve the participation of inflammatory CD4+ T-cells 'naturally', the physiopathology of other neurodegenerative diseases, such as amyotrophic lateral sclerosis, is associated with the participation of anti-inflammatory CD4+ T-cells that delay the neurodegenerative process. Thus, current evidence supports the hypothesis that the involvement of CD4+ T-cells against CNS antigens constitutes a key component in regulating the progression of the neurodegenerative process.","container-title":"Journal of Neuroinflammation","DOI":"10.1186/s12974-014-0201-8","ISSN":"1742-2094","issue":"1","journalAbbreviation":"J Neuroinflammation","language":"en","page":"201","source":"DOI.org (Crossref)","title":"T-cell-mediated regulation of neuroinflammation involved in neurodegenerative diseases","volume":"11","author":[{"family":"González","given":"Hugo"},{"family":"Pacheco","given":"Rodrigo"}],"issued":{"date-parts":[["2014",12]]}},"label":"page"},{"id":565,"uris":["http://zotero.org/users/local/JiswOD7j/items/9WZC2KCE"],"uri":["http://zotero.org/users/local/JiswOD7j/items/9WZC2KCE"],"itemData":{"id":565,"type":"article-journal","abstract":"Inﬂammation is secondary to protein accumulation in neurodegenerative diseases, including Alzheimer's, Parkinson's and Amyotrophic Lateral Sclerosis. Emerging evidence indicate sustained inﬂammatory responses, involving microglia and astrocytes in animal models of neurodegeneration. It is unknown whether inﬂammation is beneﬁcial or detrimental to disease progression and how inﬂammatory responses are induced within the CNS. Persistence of an inﬂammatory stimulus or failure to resolve sustained inﬂammation can result in pathology, thus, mechanisms that counteract inﬂammation are indispensable. Here we review studies on inﬂammation mediated by innate and adaptive immunity in the early stages of neurodegeneration and highlight important areas for future investigation.","container-title":"Journal of Neuroimmunology","DOI":"10.1016/j.jneuroim.2011.07.002","ISSN":"01655728","issue":"1-2","journalAbbreviation":"Journal of Neuroimmunology","language":"en","page":"1-11","source":"DOI.org (Crossref)","title":"Inflammation in the early stages of neurodegenerative pathology","volume":"238","author":[{"family":"Khandelwal","given":"Preeti J."},{"family":"Herman","given":"Alexander M."},{"family":"Moussa","given":"Charbel E.-H."}],"issued":{"date-parts":[["2011",9]]}},"label":"page"}],"schema":"https://github.com/citation-style-language/schema/raw/master/csl-citation.json"} </w:instrText>
      </w:r>
      <w:r w:rsidR="00BA76C6" w:rsidRPr="00245623">
        <w:rPr>
          <w:color w:val="000000"/>
          <w:lang w:val="en-US"/>
        </w:rPr>
        <w:fldChar w:fldCharType="separate"/>
      </w:r>
      <w:r w:rsidR="00AC7306" w:rsidRPr="00245623">
        <w:rPr>
          <w:color w:val="000000"/>
          <w:vertAlign w:val="superscript"/>
          <w:lang w:val="en-US"/>
        </w:rPr>
        <w:t>3,4</w:t>
      </w:r>
      <w:r w:rsidR="00BA76C6" w:rsidRPr="00245623">
        <w:rPr>
          <w:color w:val="000000"/>
          <w:lang w:val="en-US"/>
        </w:rPr>
        <w:fldChar w:fldCharType="end"/>
      </w:r>
      <w:r w:rsidRPr="00245623">
        <w:rPr>
          <w:color w:val="000000"/>
          <w:lang w:val="en-US"/>
        </w:rPr>
        <w:t>.</w:t>
      </w:r>
    </w:p>
    <w:p w14:paraId="0612DE0E" w14:textId="449643C2" w:rsidR="00BE7097" w:rsidRPr="00245623" w:rsidRDefault="00EE520D" w:rsidP="00B44B14">
      <w:pPr>
        <w:autoSpaceDE w:val="0"/>
        <w:autoSpaceDN w:val="0"/>
        <w:adjustRightInd w:val="0"/>
        <w:spacing w:line="480" w:lineRule="auto"/>
        <w:jc w:val="both"/>
        <w:rPr>
          <w:lang w:val="en-US"/>
        </w:rPr>
      </w:pPr>
      <w:r w:rsidRPr="00245623">
        <w:rPr>
          <w:color w:val="000000" w:themeColor="text1"/>
          <w:lang w:val="en-US"/>
        </w:rPr>
        <w:t xml:space="preserve">Detecting inflammation processes </w:t>
      </w:r>
      <w:r w:rsidR="00776688" w:rsidRPr="00245623">
        <w:rPr>
          <w:color w:val="000000" w:themeColor="text1"/>
          <w:lang w:val="en-US"/>
        </w:rPr>
        <w:t>noninvasively</w:t>
      </w:r>
      <w:r w:rsidRPr="00245623">
        <w:rPr>
          <w:color w:val="000000" w:themeColor="text1"/>
          <w:lang w:val="en-US"/>
        </w:rPr>
        <w:t xml:space="preserve"> would be highly beneficial for planning optimal therapeutic strategies and for monitoring the effect of anti-inflammatory treatments in several brain pathologies. However, specific, noninvasive markers of glial cell response to injury are still lacking.</w:t>
      </w:r>
      <w:r w:rsidRPr="00245623">
        <w:rPr>
          <w:lang w:val="en-US"/>
        </w:rPr>
        <w:t xml:space="preserve"> </w:t>
      </w:r>
      <w:r w:rsidRPr="00245623">
        <w:rPr>
          <w:color w:val="000000" w:themeColor="text1"/>
          <w:lang w:val="en-US"/>
        </w:rPr>
        <w:t xml:space="preserve">While diffusion MRI methods mostly target neuro-axonal integrity </w:t>
      </w:r>
      <w:r w:rsidR="00BA76C6" w:rsidRPr="00245623">
        <w:rPr>
          <w:color w:val="000000" w:themeColor="text1"/>
          <w:lang w:val="en-US"/>
        </w:rPr>
        <w:fldChar w:fldCharType="begin"/>
      </w:r>
      <w:r w:rsidR="00AC7306" w:rsidRPr="00245623">
        <w:rPr>
          <w:color w:val="000000" w:themeColor="text1"/>
          <w:lang w:val="en-US"/>
        </w:rPr>
        <w:instrText xml:space="preserve"> ADDIN ZOTERO_ITEM CSL_CITATION {"citationID":"eyX90KFn","properties":{"formattedCitation":"\\super 5,6\\nosupersub{}","plainCitation":"5,6","noteIndex":0},"citationItems":[{"id":568,"uris":["http://zotero.org/users/local/JiswOD7j/items/EIJLRACW"],"uri":["http://zotero.org/users/local/JiswOD7j/items/EIJLRACW"],"itemData":{"id":568,"type":"article-journal","container-title":"NMR in Biomedicine","DOI":"10.1002/nbm.3841","ISSN":"0952-3480, 1099-1492","issue":"4","journalAbbreviation":"NMR in Biomedicine","language":"en","page":"e3841","source":"DOI.org (Crossref)","title":"Imaging brain microstructure with diffusion MRI: practicality and applications","title-short":"Imaging brain microstructure with diffusion MRI","volume":"32","author":[{"family":"Alexander","given":"Daniel C."},{"family":"Dyrby","given":"Tim B."},{"family":"Nilsson","given":"Markus"},{"family":"Zhang","given":"Hui"}],"issued":{"date-parts":[["2019",4]]}},"label":"page"},{"id":569,"uris":["http://zotero.org/users/local/JiswOD7j/items/Z8IK6XSU"],"uri":["http://zotero.org/users/local/JiswOD7j/items/Z8IK6XSU"],"itemData":{"id":569,"type":"article-journal","abstract":"Diffusion MRI is arguably the method of choice for characterizing white matter microstructure in vivo. Over the typical duration of diffusion encoding, the displacement of water molecules is conveniently on a length scale similar to that of the underlying cellular structures. Moreover, water molecules in white matter are largely compartmentalized which enables biologically-inspired compartmental diffusion models to characterize and quantify the true biological microstructure. A plethora of white matter models have been proposed. However, overparameterization and mathematical fitting complications encourage the introduction of simplifying assumptions that vary between different approaches. These choices impact the quantitative estimation of model parameters with potential detriments to their biological accuracy and promised specificity. First, we review biophysical white matter models in use and recapitulate their underlying assumptions and realms of applicability. Second, we present up-to-date efforts to validate parameters estimated from biophysical models. Simulations and dedicated phantoms are useful in assessing the performance of models when the ground truth is known. However, the biggest challenge remains the validation of the “biological accuracy” of estimated parameters. Complementary techniques such as microscopy of fixed tissue specimens have facilitated direct comparisons of estimates of white matter fiber orientation and densities. However, validation of compartmental diffusivities remains challenging, and complementary MRI-based techniques such as alternative diffusion encodings, compartment-specific contrast agents and metabolites have been used to validate diffusion models. Finally, white matter injury and disease pose additional challenges to modeling, which are also discussed. This review aims to provide an overview of the current state of models and their validation and to stimulate further research in the field to solve the remaining open questions and converge towards consensus.","container-title":"Frontiers in Physics","DOI":"10.3389/fphy.2017.00061","ISSN":"2296-424X","journalAbbreviation":"Front. Phys.","language":"en","page":"61","source":"DOI.org (Crossref)","title":"Design and Validation of Diffusion MRI Models of White Matter","volume":"5","author":[{"family":"Jelescu","given":"Ileana O."},{"family":"Budde","given":"Matthew D."}],"issued":{"date-parts":[["2017",11,28]]}},"label":"page"}],"schema":"https://github.com/citation-style-language/schema/raw/master/csl-citation.json"} </w:instrText>
      </w:r>
      <w:r w:rsidR="00BA76C6" w:rsidRPr="00245623">
        <w:rPr>
          <w:color w:val="000000" w:themeColor="text1"/>
          <w:lang w:val="en-US"/>
        </w:rPr>
        <w:fldChar w:fldCharType="separate"/>
      </w:r>
      <w:r w:rsidR="00AC7306" w:rsidRPr="00245623">
        <w:rPr>
          <w:color w:val="000000"/>
          <w:vertAlign w:val="superscript"/>
          <w:lang w:val="en-US"/>
        </w:rPr>
        <w:t>5,6</w:t>
      </w:r>
      <w:r w:rsidR="00BA76C6" w:rsidRPr="00245623">
        <w:rPr>
          <w:color w:val="000000" w:themeColor="text1"/>
          <w:lang w:val="en-US"/>
        </w:rPr>
        <w:fldChar w:fldCharType="end"/>
      </w:r>
      <w:r w:rsidRPr="00245623">
        <w:rPr>
          <w:color w:val="000000" w:themeColor="text1"/>
          <w:lang w:val="en-US"/>
        </w:rPr>
        <w:t>, proton magnetic resonance spectroscopy (</w:t>
      </w:r>
      <w:r w:rsidRPr="00245623">
        <w:rPr>
          <w:color w:val="000000" w:themeColor="text1"/>
          <w:vertAlign w:val="superscript"/>
          <w:lang w:val="en-US"/>
        </w:rPr>
        <w:t>1</w:t>
      </w:r>
      <w:r w:rsidRPr="00245623">
        <w:rPr>
          <w:color w:val="000000" w:themeColor="text1"/>
          <w:lang w:val="en-US"/>
        </w:rPr>
        <w:t xml:space="preserve">H MRS) enables the specific </w:t>
      </w:r>
      <w:r w:rsidR="00C734AB" w:rsidRPr="00245623">
        <w:rPr>
          <w:color w:val="000000" w:themeColor="text1"/>
          <w:lang w:val="en-US"/>
        </w:rPr>
        <w:t xml:space="preserve">study </w:t>
      </w:r>
      <w:r w:rsidRPr="00245623">
        <w:rPr>
          <w:color w:val="000000" w:themeColor="text1"/>
          <w:lang w:val="en-US"/>
        </w:rPr>
        <w:t>of different cell populations, including glial cells, thanks to the cell-</w:t>
      </w:r>
      <w:r w:rsidR="00444CA5" w:rsidRPr="00245623">
        <w:rPr>
          <w:color w:val="000000" w:themeColor="text1"/>
          <w:lang w:val="en-US"/>
        </w:rPr>
        <w:t xml:space="preserve">type </w:t>
      </w:r>
      <w:r w:rsidRPr="00245623">
        <w:rPr>
          <w:color w:val="000000" w:themeColor="text1"/>
          <w:lang w:val="en-US"/>
        </w:rPr>
        <w:t>specific compartmentalization of brain metabolites. In particular, due to the preferential location of choline compounds (</w:t>
      </w:r>
      <w:proofErr w:type="spellStart"/>
      <w:r w:rsidRPr="00245623">
        <w:rPr>
          <w:color w:val="000000" w:themeColor="text1"/>
          <w:lang w:val="en-US"/>
        </w:rPr>
        <w:t>tCho</w:t>
      </w:r>
      <w:proofErr w:type="spellEnd"/>
      <w:r w:rsidRPr="00245623">
        <w:rPr>
          <w:color w:val="000000" w:themeColor="text1"/>
          <w:lang w:val="en-US"/>
        </w:rPr>
        <w:t>) and myo-inositol (</w:t>
      </w:r>
      <w:proofErr w:type="spellStart"/>
      <w:r w:rsidRPr="00245623">
        <w:rPr>
          <w:color w:val="000000" w:themeColor="text1"/>
          <w:lang w:val="en-US"/>
        </w:rPr>
        <w:t>mIns</w:t>
      </w:r>
      <w:proofErr w:type="spellEnd"/>
      <w:r w:rsidRPr="00245623">
        <w:rPr>
          <w:color w:val="000000" w:themeColor="text1"/>
          <w:lang w:val="en-US"/>
        </w:rPr>
        <w:t xml:space="preserve">) in glial cells, increased levels of </w:t>
      </w:r>
      <w:proofErr w:type="spellStart"/>
      <w:r w:rsidRPr="00245623">
        <w:rPr>
          <w:color w:val="000000" w:themeColor="text1"/>
          <w:lang w:val="en-US"/>
        </w:rPr>
        <w:t>tCho</w:t>
      </w:r>
      <w:proofErr w:type="spellEnd"/>
      <w:r w:rsidRPr="00245623">
        <w:rPr>
          <w:color w:val="000000" w:themeColor="text1"/>
          <w:lang w:val="en-US"/>
        </w:rPr>
        <w:t xml:space="preserve"> and </w:t>
      </w:r>
      <w:proofErr w:type="spellStart"/>
      <w:r w:rsidRPr="00245623">
        <w:rPr>
          <w:color w:val="000000" w:themeColor="text1"/>
          <w:lang w:val="en-US"/>
        </w:rPr>
        <w:t>mIns</w:t>
      </w:r>
      <w:proofErr w:type="spellEnd"/>
      <w:r w:rsidRPr="00245623">
        <w:rPr>
          <w:color w:val="000000" w:themeColor="text1"/>
          <w:lang w:val="en-US"/>
        </w:rPr>
        <w:t xml:space="preserve"> have been linked to inflammation and gliosis, respectively</w:t>
      </w:r>
      <w:r w:rsidR="00530716" w:rsidRPr="00245623">
        <w:rPr>
          <w:color w:val="000000" w:themeColor="text1"/>
          <w:lang w:val="en-US"/>
        </w:rPr>
        <w:t xml:space="preserve"> </w:t>
      </w:r>
      <w:r w:rsidR="00BA76C6" w:rsidRPr="00245623">
        <w:rPr>
          <w:color w:val="000000" w:themeColor="text1"/>
          <w:lang w:val="en-US"/>
        </w:rPr>
        <w:fldChar w:fldCharType="begin"/>
      </w:r>
      <w:r w:rsidR="00AC7306" w:rsidRPr="00245623">
        <w:rPr>
          <w:color w:val="000000" w:themeColor="text1"/>
          <w:lang w:val="en-US"/>
        </w:rPr>
        <w:instrText xml:space="preserve"> ADDIN ZOTERO_ITEM CSL_CITATION {"citationID":"iNzyF1lL","properties":{"formattedCitation":"\\super 7\\nosupersub{}","plainCitation":"7","noteIndex":0},"citationItems":[{"id":571,"uris":["http://zotero.org/users/local/JiswOD7j/items/SBTDKYPM"],"uri":["http://zotero.org/users/local/JiswOD7j/items/SBTDKYPM"],"itemData":{"id":571,"type":"article-journal","container-title":"Radiology","DOI":"10.1148/radiol.13130531","ISSN":"0033-8419, 1527-1315","issue":"3","journalAbbreviation":"Radiology","language":"en","page":"658-679","source":"DOI.org (Crossref)","title":"Clinical Proton MR Spectroscopy in Central Nervous System Disorders","volume":"270","author":[{"family":"Öz","given":"Gülin"},{"family":"Alger","given":"Jeffry R."},{"family":"Barker","given":"Peter B."},{"family":"Bartha","given":"Robert"},{"family":"Bizzi","given":"Alberto"},{"family":"Boesch","given":"Chris"},{"family":"Bolan","given":"Patrick J."},{"family":"Brindle","given":"Kevin M."},{"family":"Cudalbu","given":"Cristina"},{"family":"Dinçer","given":"Alp"},{"family":"Dydak","given":"Ulrike"},{"family":"Emir","given":"Uzay E."},{"family":"Frahm","given":"Jens"},{"family":"González","given":"Ramón Gilberto"},{"family":"Gruber","given":"Stephan"},{"family":"Gruetter","given":"Rolf"},{"family":"Gupta","given":"Rakesh K."},{"family":"Heerschap","given":"Arend"},{"family":"Henning","given":"Anke"},{"family":"Hetherington","given":"Hoby P."},{"family":"Howe","given":"Franklyn A."},{"family":"Hüppi","given":"Petra S."},{"family":"Hurd","given":"Ralph E."},{"family":"Kantarci","given":"Kejal"},{"family":"Klomp","given":"Dennis W. J."},{"family":"Kreis","given":"Roland"},{"family":"Kruiskamp","given":"Marijn J."},{"family":"Leach","given":"Martin O."},{"family":"Lin","given":"Alexander P."},{"family":"Luijten","given":"Peter R."},{"family":"Marjańska","given":"Małgorzata"},{"family":"Maudsley","given":"Andrew A."},{"family":"Meyerhoff","given":"Dieter J."},{"family":"Mountford","given":"Carolyn E."},{"family":"Nelson","given":"Sarah J."},{"family":"Pamir","given":"M. Necmettin"},{"family":"Pan","given":"Jullie W."},{"family":"Peet","given":"Andrew C."},{"family":"Poptani","given":"Harish"},{"family":"Posse","given":"Stefan"},{"family":"Pouwels","given":"Petra J. W."},{"family":"Ratai","given":"Eva-Maria"},{"family":"Ross","given":"Brian D."},{"family":"Scheenen","given":"Tom W. J."},{"family":"Schuster","given":"Christian"},{"family":"Smith","given":"Ian C. P."},{"family":"Soher","given":"Brian J."},{"family":"Tkáč","given":"Ivan"},{"family":"Vigneron","given":"Daniel B."},{"family":"Kauppinen","given":"Risto A."},{"literal":"For the MRS Consensus Group"}],"issued":{"date-parts":[["2014",3]]}}}],"schema":"https://github.com/citation-style-language/schema/raw/master/csl-citation.json"} </w:instrText>
      </w:r>
      <w:r w:rsidR="00BA76C6" w:rsidRPr="00245623">
        <w:rPr>
          <w:color w:val="000000" w:themeColor="text1"/>
          <w:lang w:val="en-US"/>
        </w:rPr>
        <w:fldChar w:fldCharType="separate"/>
      </w:r>
      <w:r w:rsidR="00AC7306" w:rsidRPr="00245623">
        <w:rPr>
          <w:color w:val="000000"/>
          <w:vertAlign w:val="superscript"/>
          <w:lang w:val="en-US"/>
        </w:rPr>
        <w:t>7</w:t>
      </w:r>
      <w:r w:rsidR="00BA76C6" w:rsidRPr="00245623">
        <w:rPr>
          <w:color w:val="000000" w:themeColor="text1"/>
          <w:lang w:val="en-US"/>
        </w:rPr>
        <w:fldChar w:fldCharType="end"/>
      </w:r>
      <w:r w:rsidRPr="00245623">
        <w:rPr>
          <w:color w:val="000000" w:themeColor="text1"/>
          <w:lang w:val="en-US"/>
        </w:rPr>
        <w:t xml:space="preserve">. However, changes in </w:t>
      </w:r>
      <w:proofErr w:type="spellStart"/>
      <w:r w:rsidRPr="00245623">
        <w:rPr>
          <w:color w:val="000000" w:themeColor="text1"/>
          <w:lang w:val="en-US"/>
        </w:rPr>
        <w:t>tCho</w:t>
      </w:r>
      <w:proofErr w:type="spellEnd"/>
      <w:r w:rsidRPr="00245623">
        <w:rPr>
          <w:color w:val="000000" w:themeColor="text1"/>
          <w:lang w:val="en-US"/>
        </w:rPr>
        <w:t xml:space="preserve"> and </w:t>
      </w:r>
      <w:proofErr w:type="spellStart"/>
      <w:r w:rsidRPr="00245623">
        <w:rPr>
          <w:color w:val="000000" w:themeColor="text1"/>
          <w:lang w:val="en-US"/>
        </w:rPr>
        <w:t>mIns</w:t>
      </w:r>
      <w:proofErr w:type="spellEnd"/>
      <w:r w:rsidRPr="00245623">
        <w:rPr>
          <w:color w:val="000000" w:themeColor="text1"/>
          <w:lang w:val="en-US"/>
        </w:rPr>
        <w:t xml:space="preserve"> concentrations could be related to concomitant pathological mechanisms, involving variations in glial cell density and cellular metabolic dysfunction, and, to our knowledge, they have never been proved as specific markers of inflammation processes. </w:t>
      </w:r>
      <w:r w:rsidRPr="00245623">
        <w:rPr>
          <w:color w:val="000000" w:themeColor="text1"/>
          <w:vertAlign w:val="superscript"/>
          <w:lang w:val="en-US"/>
        </w:rPr>
        <w:t>1</w:t>
      </w:r>
      <w:r w:rsidRPr="00245623">
        <w:rPr>
          <w:color w:val="000000" w:themeColor="text1"/>
          <w:lang w:val="en-US"/>
        </w:rPr>
        <w:t xml:space="preserve">H MRS has been used to monitor </w:t>
      </w:r>
      <w:r w:rsidR="00C734AB" w:rsidRPr="00245623">
        <w:rPr>
          <w:color w:val="000000" w:themeColor="text1"/>
          <w:lang w:val="en-US"/>
        </w:rPr>
        <w:t xml:space="preserve">longitudinal </w:t>
      </w:r>
      <w:r w:rsidRPr="00245623">
        <w:rPr>
          <w:color w:val="000000" w:themeColor="text1"/>
          <w:lang w:val="en-US"/>
        </w:rPr>
        <w:t>glial and axonal changes in the corpus callosum of cuprizone (CPZ)-fed mice</w:t>
      </w:r>
      <w:r w:rsidR="00BA76C6" w:rsidRPr="00245623">
        <w:rPr>
          <w:color w:val="000000" w:themeColor="text1"/>
          <w:lang w:val="en-US"/>
        </w:rPr>
        <w:fldChar w:fldCharType="begin"/>
      </w:r>
      <w:r w:rsidR="00AC7306" w:rsidRPr="00245623">
        <w:rPr>
          <w:color w:val="000000" w:themeColor="text1"/>
          <w:lang w:val="en-US"/>
        </w:rPr>
        <w:instrText xml:space="preserve"> ADDIN ZOTERO_ITEM CSL_CITATION {"citationID":"fFIwGnPs","properties":{"formattedCitation":"\\super 8\\nosupersub{}","plainCitation":"8","noteIndex":0},"citationItems":[{"id":560,"uris":["http://zotero.org/users/local/JiswOD7j/items/YHDYWV9T"],"uri":["http://zotero.org/users/local/JiswOD7j/items/YHDYWV9T"],"itemData":{"id":560,"type":"article-journal","abstract":"Non-invasive measures of well-known pathological hallmarks of multiple sclerosis (MS) such as demyelination, inﬂammation and axonal injury would serve as useful markers to monitor disease progression and evaluate potential therapies. To this end, in vivo localized proton magnetic resonance spectroscopy (1H-MRS) provides a powerful means to monitor metabolic changes in the brain and may be sensitive to these pathological hallmarks. In our study, we used the cuprizone mouse model to study pathological features of MS, such as inﬂammation, deand remyelination, in a highly reproducible manner. C57BL/6J mice were challenged with a 0.2% cuprizone diet for 6-weeks to induce demyelination, thereafter the mice were put on a cuprizone free diet for another 6 weeks to induce spontaneous remyelination. We employed in vivo 1H-MRS to longitudinally monitor metabolic changes in the corpus callosum of cuprizone-fed mice during the demyelination (weeks 4 and 6) and spontaneous remyelination (week 12) phases. The MRS spectra were quantiﬁed with LCModel and since the total creatine (tCr) levels did not change over time or between groups, metabolite concentrations were expressed as ratios relative to tCr. After 4 and 6 weeks of cuprizone treatment a signiﬁcant increase in taurine/tCr and a signiﬁcant reduction in total N-acetylaspartate/tCr, total choline-containing compounds/tCr and glutamate/tCr could be observed compared to mice under normal diet. At week 12, when almost full remyelination was established, no statistically signiﬁcant metabolic differences were present between the control and cuprizone group. Our results suggest that these metabolic changes may represent sensitive markers for cuprizone induced demyelination, axonal injury and inﬂammation. To the best of our knowledge, this is the ﬁrst longitudinal in vivo 1H-MRS study that monitored biochemical changes in the corpus callosum of cuprizone fed mice.","container-title":"NeuroImage","DOI":"10.1016/j.neuroimage.2015.04.012","ISSN":"10538119","journalAbbreviation":"NeuroImage","language":"en","page":"128-135","source":"DOI.org (Crossref)","title":"Longitudinal monitoring of metabolic alterations in cuprizone mouse model of multiple sclerosis using 1H-magnetic resonance spectroscopy","volume":"114","author":[{"family":"Orije","given":"Jasmien"},{"family":"Kara","given":"Firat"},{"family":"Guglielmetti","given":"Caroline"},{"family":"Praet","given":"Jelle"},{"family":"Van der Linden","given":"Annemie"},{"family":"Ponsaerts","given":"Peter"},{"family":"Verhoye","given":"Marleen"}],"issued":{"date-parts":[["2015",7]]}}}],"schema":"https://github.com/citation-style-language/schema/raw/master/csl-citation.json"} </w:instrText>
      </w:r>
      <w:r w:rsidR="00BA76C6" w:rsidRPr="00245623">
        <w:rPr>
          <w:color w:val="000000" w:themeColor="text1"/>
          <w:lang w:val="en-US"/>
        </w:rPr>
        <w:fldChar w:fldCharType="separate"/>
      </w:r>
      <w:r w:rsidR="00AC7306" w:rsidRPr="00245623">
        <w:rPr>
          <w:color w:val="000000"/>
          <w:vertAlign w:val="superscript"/>
          <w:lang w:val="en-US"/>
        </w:rPr>
        <w:t>8</w:t>
      </w:r>
      <w:r w:rsidR="00BA76C6" w:rsidRPr="00245623">
        <w:rPr>
          <w:color w:val="000000" w:themeColor="text1"/>
          <w:lang w:val="en-US"/>
        </w:rPr>
        <w:fldChar w:fldCharType="end"/>
      </w:r>
      <w:r w:rsidRPr="00245623">
        <w:rPr>
          <w:lang w:val="en-US"/>
        </w:rPr>
        <w:t xml:space="preserve">. </w:t>
      </w:r>
      <w:r w:rsidR="00AE5C8C" w:rsidRPr="00245623">
        <w:rPr>
          <w:color w:val="000000"/>
          <w:lang w:val="en-US"/>
        </w:rPr>
        <w:t xml:space="preserve">The CPZ model is a </w:t>
      </w:r>
      <w:r w:rsidR="00AE5C8C" w:rsidRPr="00245623">
        <w:rPr>
          <w:lang w:val="en-US"/>
        </w:rPr>
        <w:t xml:space="preserve">toxin-induced demyelination mouse model reflecting several characteristics of multiple sclerosis. </w:t>
      </w:r>
      <w:r w:rsidR="00E93268" w:rsidRPr="00245623">
        <w:rPr>
          <w:lang w:val="en-US"/>
        </w:rPr>
        <w:t xml:space="preserve">In the CPZ mouse </w:t>
      </w:r>
      <w:r w:rsidR="00AE5C8C" w:rsidRPr="00245623">
        <w:rPr>
          <w:lang w:val="en-US"/>
        </w:rPr>
        <w:t>brain</w:t>
      </w:r>
      <w:r w:rsidR="00E93268" w:rsidRPr="00245623">
        <w:rPr>
          <w:lang w:val="en-US"/>
        </w:rPr>
        <w:t>,</w:t>
      </w:r>
      <w:r w:rsidR="0094485E" w:rsidRPr="00245623">
        <w:rPr>
          <w:lang w:val="en-US"/>
        </w:rPr>
        <w:t xml:space="preserve"> </w:t>
      </w:r>
      <w:r w:rsidR="00E93268" w:rsidRPr="00245623">
        <w:rPr>
          <w:lang w:val="en-US"/>
        </w:rPr>
        <w:t xml:space="preserve">activated </w:t>
      </w:r>
      <w:r w:rsidR="0094485E" w:rsidRPr="00245623">
        <w:rPr>
          <w:lang w:val="en-US"/>
        </w:rPr>
        <w:t>astro</w:t>
      </w:r>
      <w:r w:rsidR="00E93268" w:rsidRPr="00245623">
        <w:rPr>
          <w:lang w:val="en-US"/>
        </w:rPr>
        <w:t>cytes</w:t>
      </w:r>
      <w:r w:rsidR="0094485E" w:rsidRPr="00245623">
        <w:rPr>
          <w:lang w:val="en-US"/>
        </w:rPr>
        <w:t xml:space="preserve"> and microgli</w:t>
      </w:r>
      <w:r w:rsidR="00E93268" w:rsidRPr="00245623">
        <w:rPr>
          <w:lang w:val="en-US"/>
        </w:rPr>
        <w:t>a</w:t>
      </w:r>
      <w:r w:rsidR="0094485E" w:rsidRPr="00245623">
        <w:rPr>
          <w:lang w:val="en-US"/>
        </w:rPr>
        <w:t xml:space="preserve"> </w:t>
      </w:r>
      <w:r w:rsidR="00E93268" w:rsidRPr="00245623">
        <w:rPr>
          <w:lang w:val="en-US"/>
        </w:rPr>
        <w:t xml:space="preserve">initiate inflammatory processes </w:t>
      </w:r>
      <w:r w:rsidR="00C734AB" w:rsidRPr="00245623">
        <w:rPr>
          <w:lang w:val="en-US"/>
        </w:rPr>
        <w:t xml:space="preserve">within </w:t>
      </w:r>
      <w:r w:rsidR="00E93268" w:rsidRPr="00245623">
        <w:rPr>
          <w:lang w:val="en-US"/>
        </w:rPr>
        <w:t xml:space="preserve">the first 2-3 weeks </w:t>
      </w:r>
      <w:r w:rsidR="00C71264" w:rsidRPr="00245623">
        <w:rPr>
          <w:lang w:val="en-US"/>
        </w:rPr>
        <w:t>of</w:t>
      </w:r>
      <w:r w:rsidR="00E93268" w:rsidRPr="00245623">
        <w:rPr>
          <w:lang w:val="en-US"/>
        </w:rPr>
        <w:t xml:space="preserve"> intoxication, in response</w:t>
      </w:r>
      <w:r w:rsidR="005210CE" w:rsidRPr="00245623">
        <w:rPr>
          <w:lang w:val="en-US"/>
        </w:rPr>
        <w:t xml:space="preserve"> to</w:t>
      </w:r>
      <w:r w:rsidR="00E93268" w:rsidRPr="00245623">
        <w:rPr>
          <w:lang w:val="en-US"/>
        </w:rPr>
        <w:t xml:space="preserve"> apoptosis</w:t>
      </w:r>
      <w:r w:rsidR="005210CE" w:rsidRPr="00245623">
        <w:rPr>
          <w:lang w:val="en-US"/>
        </w:rPr>
        <w:t xml:space="preserve"> of oligodendrocytes</w:t>
      </w:r>
      <w:r w:rsidR="00E93268" w:rsidRPr="00245623">
        <w:rPr>
          <w:lang w:val="en-US"/>
        </w:rPr>
        <w:t xml:space="preserve"> </w:t>
      </w:r>
      <w:r w:rsidR="00C71264" w:rsidRPr="00245623">
        <w:rPr>
          <w:lang w:val="en-US"/>
        </w:rPr>
        <w:t xml:space="preserve">and </w:t>
      </w:r>
      <w:r w:rsidR="005210CE" w:rsidRPr="00245623">
        <w:rPr>
          <w:lang w:val="en-US"/>
        </w:rPr>
        <w:t xml:space="preserve">onset of </w:t>
      </w:r>
      <w:r w:rsidR="00E93268" w:rsidRPr="00245623">
        <w:rPr>
          <w:lang w:val="en-US"/>
        </w:rPr>
        <w:t>demyelination</w:t>
      </w:r>
      <w:r w:rsidR="00A30EC1"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{"citationID":"8R5LsRLO","properties":{"formattedCitation":"\\super 9\\uc0\\u8211{}11\\nosupersub{}","plainCitation":"9–11","noteIndex":0},"citationItems":[{"id":583,"uris":["http://zotero.org/users/local/JiswOD7j/items/YJGH99FA"],"uri":["http://zotero.org/users/local/JiswOD7j/items/YJGH99FA"],"itemData":{"id":583,"type":"article-journal","abstract":"Although astrogliosis and microglia activation are characteristic features of multiple sclerosis (MS) and other central nervous system (CNS) lesions the exact functions of these events are not fully understood. Animal models help to understand the complex interplay between the different cell types of the CNS and uncover general mechanisms of damage and repair of myelin sheaths. The so called cuprizone model is a toxic model of demyelination in the CNS white and gray matter, which lacks an autoimmune component. Cuprizone induces apoptosis of mature oligodendrocytes that leads to a robust demyelination and profound activation of both astrocytes and microglia with regional heterogeneity between different white and gray matter regions. Although not suitable to study autoimmune mediated demyelination, this model is extremely helpful to elucidate basic cellular and molecular mechanisms during de- and particularly remyelination independently of interactions with peripheral immune cells. Phagocytosis and removal of damaged myelin seems to be one of the major roles of microglia in this model and it is well known that removal of myelin debris is a prerequisite of successful remyelination. Furthermore, microglia provide several signals that support remyelination. The role of astrocytes during de- and remyelination is not well deﬁned. Both supportive and destructive functions have been suggested. Using the cuprizone model we could demonstrate that there is an important crosstalk between astrocytes and microglia. In this review we focus on the role of glial reactions and interaction in the cuprizone model. Advantages and limitations of as well as its potential therapeutic relevance for the human disease MS are critically discussed in comparison to other animal models.","container-title":"Frontiers in Cellular Neuroscience","DOI":"10.3389/fncel.2014.00073","ISSN":"1662-5102","journalAbbreviation":"Front. Cell. Neurosci.","language":"en","source":"DOI.org (Crossref)","title":"Glial response during cuprizone-induced de- and remyelination in the CNS: lessons learned","title-short":"Glial response during cuprizone-induced de- and remyelination in the CNS","URL":"http://journal.frontiersin.org/article/10.3389/fncel.2014.00073/abstract","volume":"8","author":[{"family":"Gudi","given":"Viktoria"},{"family":"Gingele","given":"Stefan"},{"family":"Skripuletz","given":"Thomas"},{"family":"Stangel","given":"Martin"}],"accessed":{"date-parts":[["2020",4,25]]},"issued":{"date-parts":[["2014",3,13]]}},"label":"page"},{"id":584,"uris":["http://zotero.org/users/local/JiswOD7j/items/NSLV3E3L"],"uri":["http://zotero.org/users/local/JiswOD7j/items/NSLV3E3L"],"itemData":{"id":584,"type":"article-journal","container-title":"Brain Pathology","DOI":"10.1111/j.1750-3639.2001.tb00385.x","ISSN":"10156305","issue":"1","language":"en","page":"107-116","source":"DOI.org (Crossref)","title":"The Neurotoxicant, Cuprizone, as a Model to Study Demyelination and Remyelination in the Central Nervous System","volume":"11","author":[{"family":"Matsushima","given":"Glenn K."},{"family":"Morell","given":"Pierre"}],"issued":{"date-parts":[["2006",4,5]]}},"label":"page"},{"id":585,"uris":["http://zotero.org/users/local/JiswOD7j/items/FFIPSXU8"],"uri":["http://zotero.org/users/local/JiswOD7j/items/FFIPSXU8"],"itemData":{"id":585,"type":"article-journal","container-title":"The American Journal of Pathology","DOI":"10.2353/ajpath.2007.060783","ISSN":"00029440","issue":"5","journalAbbreviation":"The American Journal of Pathology","language":"en","page":"1713-1724","source":"DOI.org (Crossref)","title":"Microglial Recruitment, Activation, and Proliferation in Response to Primary Demyelination","volume":"170","author":[{"family":"Remington","given":"Leah T."},{"family":"Babcock","given":"Alicia A."},{"family":"Zehntner","given":"Simone P."},{"family":"Owens","given":"Trevor"}],"issued":{"date-parts":[["2007",5]]}},"label":"page"}],"schema":"https://github.com/citation-style-language/schema/raw/master/csl-citation.json"} </w:instrText>
      </w:r>
      <w:r w:rsidR="00BA76C6" w:rsidRPr="00245623">
        <w:rPr>
          <w:lang w:val="en-US"/>
        </w:rPr>
        <w:fldChar w:fldCharType="separate"/>
      </w:r>
      <w:r w:rsidR="00AC7306" w:rsidRPr="00245623">
        <w:rPr>
          <w:vertAlign w:val="superscript"/>
          <w:lang w:val="en-US"/>
        </w:rPr>
        <w:t>9–11</w:t>
      </w:r>
      <w:r w:rsidR="00BA76C6" w:rsidRPr="00245623">
        <w:rPr>
          <w:lang w:val="en-US"/>
        </w:rPr>
        <w:fldChar w:fldCharType="end"/>
      </w:r>
      <w:r w:rsidR="0094485E" w:rsidRPr="00245623">
        <w:rPr>
          <w:lang w:val="en-US"/>
        </w:rPr>
        <w:t xml:space="preserve">. </w:t>
      </w:r>
      <w:r w:rsidRPr="00245623">
        <w:rPr>
          <w:lang w:val="en-US"/>
        </w:rPr>
        <w:t xml:space="preserve">After six weeks of cuprizone treatment, mice </w:t>
      </w:r>
      <w:r w:rsidR="002321E3" w:rsidRPr="00245623">
        <w:rPr>
          <w:lang w:val="en-US"/>
        </w:rPr>
        <w:t xml:space="preserve">usually </w:t>
      </w:r>
      <w:r w:rsidRPr="00245623">
        <w:rPr>
          <w:lang w:val="en-US"/>
        </w:rPr>
        <w:t>exhibit severe demyelination associated with a significant inflammatory response</w:t>
      </w:r>
      <w:r w:rsidR="0055578F"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{"citationID":"Vnbqodz8","properties":{"formattedCitation":"\\super 12\\nosupersub{}","plainCitation":"12","noteIndex":0},"citationItems":[{"id":577,"uris":["http://zotero.org/users/local/JiswOD7j/items/DN4IJFSJ"],"uri":["http://zotero.org/users/local/JiswOD7j/items/DN4IJFSJ"],"itemData":{"id":577,"type":"article-journal","container-title":"Molecular and Cellular Neuroscience","DOI":"10.1006/mcne.1998.0715","ISSN":"10447431","issue":"4-5","journalAbbreviation":"Molecular and Cellular Neuroscience","language":"en","page":"220-227","source":"DOI.org (Crossref)","title":"Gene Expression in Brain during Cuprizone-Induced Demyelination and Remyelination","volume":"12","author":[{"family":"Morell","given":"P."},{"family":"Barrett","given":"C.V."},{"family":"Mason","given":"J.L."},{"family":"Toews","given":"A.D."},{"family":"Hostettler","given":"J.D."},{"family":"Knapp","given":"G.W."},{"family":"Matsushima","given":"G.K."}],"issued":{"date-parts":[["1998",11]]}}}],"schema":"https://github.com/citation-style-language/schema/raw/master/csl-citation.json"} </w:instrText>
      </w:r>
      <w:r w:rsidR="00BA76C6" w:rsidRPr="00245623">
        <w:rPr>
          <w:lang w:val="en-US"/>
        </w:rPr>
        <w:fldChar w:fldCharType="separate"/>
      </w:r>
      <w:r w:rsidR="00AC7306" w:rsidRPr="00245623">
        <w:rPr>
          <w:vertAlign w:val="superscript"/>
          <w:lang w:val="en-US"/>
        </w:rPr>
        <w:t>12</w:t>
      </w:r>
      <w:r w:rsidR="00BA76C6" w:rsidRPr="00245623">
        <w:rPr>
          <w:lang w:val="en-US"/>
        </w:rPr>
        <w:fldChar w:fldCharType="end"/>
      </w:r>
      <w:r w:rsidRPr="00245623">
        <w:rPr>
          <w:lang w:val="en-US"/>
        </w:rPr>
        <w:t xml:space="preserve">. In </w:t>
      </w:r>
      <w:r w:rsidRPr="00245623">
        <w:rPr>
          <w:lang w:val="en-US"/>
        </w:rPr>
        <w:lastRenderedPageBreak/>
        <w:t xml:space="preserve">particular, </w:t>
      </w:r>
      <w:r w:rsidR="002321E3" w:rsidRPr="00245623">
        <w:rPr>
          <w:lang w:val="en-US"/>
        </w:rPr>
        <w:t xml:space="preserve">it has been suggested that </w:t>
      </w:r>
      <w:r w:rsidRPr="00245623">
        <w:rPr>
          <w:lang w:val="en-US"/>
        </w:rPr>
        <w:t xml:space="preserve">the </w:t>
      </w:r>
      <w:r w:rsidRPr="00245623">
        <w:rPr>
          <w:color w:val="000000" w:themeColor="text1"/>
          <w:lang w:val="en-US"/>
        </w:rPr>
        <w:t>corpus callosum</w:t>
      </w:r>
      <w:r w:rsidRPr="00245623">
        <w:rPr>
          <w:lang w:val="en-US"/>
        </w:rPr>
        <w:t xml:space="preserve"> </w:t>
      </w:r>
      <w:r w:rsidR="002321E3" w:rsidRPr="00245623">
        <w:rPr>
          <w:lang w:val="en-US"/>
        </w:rPr>
        <w:t>is</w:t>
      </w:r>
      <w:r w:rsidRPr="00245623">
        <w:rPr>
          <w:lang w:val="en-US"/>
        </w:rPr>
        <w:t xml:space="preserve"> the </w:t>
      </w:r>
      <w:r w:rsidR="005A6D2C" w:rsidRPr="00245623">
        <w:rPr>
          <w:lang w:val="en-US"/>
        </w:rPr>
        <w:t xml:space="preserve">region </w:t>
      </w:r>
      <w:r w:rsidRPr="00245623">
        <w:rPr>
          <w:lang w:val="en-US"/>
        </w:rPr>
        <w:t>most affected</w:t>
      </w:r>
      <w:r w:rsidR="005210CE" w:rsidRPr="00245623">
        <w:rPr>
          <w:lang w:val="en-US"/>
        </w:rPr>
        <w:t xml:space="preserve"> by</w:t>
      </w:r>
      <w:r w:rsidRPr="00245623">
        <w:rPr>
          <w:lang w:val="en-US"/>
        </w:rPr>
        <w:t xml:space="preserve"> </w:t>
      </w:r>
      <w:r w:rsidR="005210CE" w:rsidRPr="00245623">
        <w:rPr>
          <w:lang w:val="en-US"/>
        </w:rPr>
        <w:t>t</w:t>
      </w:r>
      <w:r w:rsidRPr="00245623">
        <w:rPr>
          <w:lang w:val="en-US"/>
        </w:rPr>
        <w:t xml:space="preserve">he CPZ diet </w:t>
      </w:r>
      <w:r w:rsidR="00BA76C6" w:rsidRPr="00245623">
        <w:rPr>
          <w:lang w:val="en-US"/>
        </w:rPr>
        <w:fldChar w:fldCharType="begin"/>
      </w:r>
      <w:r w:rsidR="00AC7306" w:rsidRPr="00245623">
        <w:rPr>
          <w:lang w:val="en-US"/>
        </w:rPr>
        <w:instrText xml:space="preserve"> ADDIN ZOTERO_ITEM CSL_CITATION {"citationID":"obiYKHUR","properties":{"formattedCitation":"\\super 13,14\\nosupersub{}","plainCitation":"13,14","noteIndex":0},"citationItems":[{"id":575,"uris":["http://zotero.org/users/local/JiswOD7j/items/P9FEWDE6"],"uri":["http://zotero.org/users/local/JiswOD7j/items/P9FEWDE6"],"itemData":{"id":575,"type":"article-journal","abstract":"Although multiple sclerosis (MS) has been considered a white matter disease, MS lesions occur frequently in the gray matter parts of the brain. Gray matter demyelination and atrophy are found during earliest disease stages, and a growing body of evidence demonstrates a positive correlation between gray matter pathology and various measures of motor disability and cognitive impairment. The cuprizone model is classically regarded as white matter demyelination model. However, recent evidence suggests that different gray matter areas are also affected. In this study, we address the vulnerability of white and gray matter forebrain regions in the cuprizone model. While the corpus callosum as interhemispheric white matter tract is affected in this model, other white matter tracts such as the mammillo-thalamic tract, the columns of the fornix, the stria terminalis, the optic tract, or hippocampal fimbria do not present overt demyelination after 5-week cuprizone intoxication. In contrast, gray matter demyelination is widespread in this model. Furthermore, vulnerable white matter tracts display extensive acute axonal damage. These results highlight the relevance of the cuprizone model to study MS-related gray matter pathology and neurodegeneration.","container-title":"Journal of Molecular Neuroscience","DOI":"10.1007/s12031-015-0595-5","ISSN":"0895-8696, 1559-1166","issue":"2","journalAbbreviation":"J Mol Neurosci","language":"en","page":"166-175","source":"DOI.org (Crossref)","title":"Anatomical Distribution of Cuprizone-Induced Lesions in C57BL6 Mice","volume":"57","author":[{"family":"Goldberg","given":"Johannes"},{"family":"Clarner","given":"Tim"},{"family":"Beyer","given":"Cordian"},{"family":"Kipp","given":"Markus"}],"issued":{"date-parts":[["2015",10]]}},"label":"page"},{"id":576,"uris":["http://zotero.org/users/local/JiswOD7j/items/TPS3GEMA"],"uri":["http://zotero.org/users/local/JiswOD7j/items/TPS3GEMA"],"itemData":{"id":576,"type":"article-journal","abstract":"Cuprizone feeding is a commonly used model to study experimental de- and remyelination, with the corpus callosum being the most frequently investigated white matter tract. We have previously shown that demyelination is also extensive in the cerebral cortex in the cuprizone model. In the current study, we have performed a detailed analysis of the dynamics of demyelination in the cortex in comparison to the corpus callosum. Prominent and almost complete demyelination in the corpus callosum was observed after 4.5–5 weeks of 0.2% cuprizone feeding, whereas complete cortical demyelination was only observed after 6 weeks of cuprizone feeding. Interestingly, remyelination in the corpus callosum occurred even before the termination of cuprizone administration. Accumulation of microglia in the corpus callosum started as early as week 3 reaching its maximum at week 4.5 and was still significantly elevated at week 6 of cuprizone treatment. Within the cortex only a few scattered activated microglial cells were found. Furthermore, the intensity of astrogliosis, accumulation of oligodendrocyte progenitor cells and nestin positive cells differed between the two areas investigated. The time course and dynamics of demyelination differ in the corpus callosum and in the cortex, suggesting different underlying pathomechanisms.","container-title":"Brain Research","DOI":"10.1016/j.brainres.2009.06.005","ISSN":"00068993","journalAbbreviation":"Brain Research","language":"en","page":"127-138","source":"DOI.org (Crossref)","title":"Regional differences between grey and white matter in cuprizone induced demyelination","volume":"1283","author":[{"family":"Gudi","given":"Viktoria"},{"family":"Moharregh-Khiabani","given":"Darius"},{"family":"Skripuletz","given":"Thomas"},{"family":"Koutsoudaki","given":"Paraskevi N."},{"family":"Kotsiari","given":"Alexandra"},{"family":"Skuljec","given":"Jelena"},{"family":"Trebst","given":"Corinna"},{"family":"Stangel","given":"Martin"}],"issued":{"date-parts":[["2009",8]]}},"label":"page"}],"schema":"https://github.com/citation-style-language/schema/raw/master/csl-citation.json"} </w:instrText>
      </w:r>
      <w:r w:rsidR="00BA76C6" w:rsidRPr="00245623">
        <w:rPr>
          <w:lang w:val="en-US"/>
        </w:rPr>
        <w:fldChar w:fldCharType="separate"/>
      </w:r>
      <w:r w:rsidR="00AC7306" w:rsidRPr="00245623">
        <w:rPr>
          <w:vertAlign w:val="superscript"/>
          <w:lang w:val="en-US"/>
        </w:rPr>
        <w:t>13,14</w:t>
      </w:r>
      <w:r w:rsidR="00BA76C6" w:rsidRPr="00245623">
        <w:rPr>
          <w:lang w:val="en-US"/>
        </w:rPr>
        <w:fldChar w:fldCharType="end"/>
      </w:r>
      <w:r w:rsidRPr="00245623">
        <w:rPr>
          <w:lang w:val="en-US"/>
        </w:rPr>
        <w:t>.</w:t>
      </w:r>
      <w:r w:rsidRPr="00245623">
        <w:rPr>
          <w:color w:val="000000" w:themeColor="text1"/>
          <w:lang w:val="en-US"/>
        </w:rPr>
        <w:t xml:space="preserve"> Biochemical longitudinal changes detected using MRS in </w:t>
      </w:r>
      <w:r w:rsidR="00D11676" w:rsidRPr="00245623">
        <w:rPr>
          <w:color w:val="000000" w:themeColor="text1"/>
          <w:lang w:val="en-US"/>
        </w:rPr>
        <w:t xml:space="preserve">the corpus callosum of </w:t>
      </w:r>
      <w:r w:rsidRPr="00245623">
        <w:rPr>
          <w:color w:val="000000" w:themeColor="text1"/>
          <w:lang w:val="en-US"/>
        </w:rPr>
        <w:t xml:space="preserve">CPZ mice </w:t>
      </w:r>
      <w:r w:rsidR="003077D0" w:rsidRPr="00245623">
        <w:rPr>
          <w:color w:val="000000" w:themeColor="text1"/>
          <w:lang w:val="en-US"/>
        </w:rPr>
        <w:t>have been</w:t>
      </w:r>
      <w:r w:rsidRPr="00245623">
        <w:rPr>
          <w:color w:val="000000" w:themeColor="text1"/>
          <w:lang w:val="en-US"/>
        </w:rPr>
        <w:t xml:space="preserve"> attributed to reversible demyelination, axonal injury, and inflammation</w:t>
      </w:r>
      <w:r w:rsidR="004D6E26" w:rsidRPr="00245623">
        <w:rPr>
          <w:color w:val="000000" w:themeColor="text1"/>
          <w:lang w:val="en-US"/>
        </w:rPr>
        <w:t xml:space="preserve">, without specificity for </w:t>
      </w:r>
      <w:r w:rsidR="00400648" w:rsidRPr="00245623">
        <w:rPr>
          <w:color w:val="000000" w:themeColor="text1"/>
          <w:lang w:val="en-US"/>
        </w:rPr>
        <w:t>individual</w:t>
      </w:r>
      <w:r w:rsidR="004D6E26" w:rsidRPr="00245623">
        <w:rPr>
          <w:color w:val="000000" w:themeColor="text1"/>
          <w:lang w:val="en-US"/>
        </w:rPr>
        <w:t xml:space="preserve"> </w:t>
      </w:r>
      <w:r w:rsidR="00400648" w:rsidRPr="00245623">
        <w:rPr>
          <w:color w:val="000000" w:themeColor="text1"/>
          <w:lang w:val="en-US"/>
        </w:rPr>
        <w:t>pathological processes</w:t>
      </w:r>
      <w:r w:rsidRPr="00245623">
        <w:rPr>
          <w:color w:val="000000" w:themeColor="text1"/>
          <w:lang w:val="en-US"/>
        </w:rPr>
        <w:t xml:space="preserve"> </w:t>
      </w:r>
      <w:r w:rsidR="00BA76C6" w:rsidRPr="00245623">
        <w:rPr>
          <w:color w:val="000000" w:themeColor="text1"/>
          <w:lang w:val="en-US"/>
        </w:rPr>
        <w:fldChar w:fldCharType="begin"/>
      </w:r>
      <w:r w:rsidR="00AC7306" w:rsidRPr="00245623">
        <w:rPr>
          <w:color w:val="000000" w:themeColor="text1"/>
          <w:lang w:val="en-US"/>
        </w:rPr>
        <w:instrText xml:space="preserve"> ADDIN ZOTERO_ITEM CSL_CITATION {"citationID":"Kc7ZR4wx","properties":{"formattedCitation":"\\super 8\\nosupersub{}","plainCitation":"8","noteIndex":0},"citationItems":[{"id":560,"uris":["http://zotero.org/users/local/JiswOD7j/items/YHDYWV9T"],"uri":["http://zotero.org/users/local/JiswOD7j/items/YHDYWV9T"],"itemData":{"id":560,"type":"article-journal","abstract":"Non-invasive measures of well-known pathological hallmarks of multiple sclerosis (MS) such as demyelination, inﬂammation and axonal injury would serve as useful markers to monitor disease progression and evaluate potential therapies. To this end, in vivo localized proton magnetic resonance spectroscopy (1H-MRS) provides a powerful means to monitor metabolic changes in the brain and may be sensitive to these pathological hallmarks. In our study, we used the cuprizone mouse model to study pathological features of MS, such as inﬂammation, deand remyelination, in a highly reproducible manner. C57BL/6J mice were challenged with a 0.2% cuprizone diet for 6-weeks to induce demyelination, thereafter the mice were put on a cuprizone free diet for another 6 weeks to induce spontaneous remyelination. We employed in vivo 1H-MRS to longitudinally monitor metabolic changes in the corpus callosum of cuprizone-fed mice during the demyelination (weeks 4 and 6) and spontaneous remyelination (week 12) phases. The MRS spectra were quantiﬁed with LCModel and since the total creatine (tCr) levels did not change over time or between groups, metabolite concentrations were expressed as ratios relative to tCr. After 4 and 6 weeks of cuprizone treatment a signiﬁcant increase in taurine/tCr and a signiﬁcant reduction in total N-acetylaspartate/tCr, total choline-containing compounds/tCr and glutamate/tCr could be observed compared to mice under normal diet. At week 12, when almost full remyelination was established, no statistically signiﬁcant metabolic differences were present between the control and cuprizone group. Our results suggest that these metabolic changes may represent sensitive markers for cuprizone induced demyelination, axonal injury and inﬂammation. To the best of our knowledge, this is the ﬁrst longitudinal in vivo 1H-MRS study that monitored biochemical changes in the corpus callosum of cuprizone fed mice.","container-title":"NeuroImage","DOI":"10.1016/j.neuroimage.2015.04.012","ISSN":"10538119","journalAbbreviation":"NeuroImage","language":"en","page":"128-135","source":"DOI.org (Crossref)","title":"Longitudinal monitoring of metabolic alterations in cuprizone mouse model of multiple sclerosis using 1H-magnetic resonance spectroscopy","volume":"114","author":[{"family":"Orije","given":"Jasmien"},{"family":"Kara","given":"Firat"},{"family":"Guglielmetti","given":"Caroline"},{"family":"Praet","given":"Jelle"},{"family":"Van der Linden","given":"Annemie"},{"family":"Ponsaerts","given":"Peter"},{"family":"Verhoye","given":"Marleen"}],"issued":{"date-parts":[["2015",7]]}}}],"schema":"https://github.com/citation-style-language/schema/raw/master/csl-citation.json"} </w:instrText>
      </w:r>
      <w:r w:rsidR="00BA76C6" w:rsidRPr="00245623">
        <w:rPr>
          <w:color w:val="000000" w:themeColor="text1"/>
          <w:lang w:val="en-US"/>
        </w:rPr>
        <w:fldChar w:fldCharType="separate"/>
      </w:r>
      <w:r w:rsidR="00AC7306" w:rsidRPr="00245623">
        <w:rPr>
          <w:color w:val="000000"/>
          <w:vertAlign w:val="superscript"/>
          <w:lang w:val="en-US"/>
        </w:rPr>
        <w:t>8</w:t>
      </w:r>
      <w:r w:rsidR="00BA76C6" w:rsidRPr="00245623">
        <w:rPr>
          <w:color w:val="000000" w:themeColor="text1"/>
          <w:lang w:val="en-US"/>
        </w:rPr>
        <w:fldChar w:fldCharType="end"/>
      </w:r>
      <w:r w:rsidRPr="00245623">
        <w:rPr>
          <w:color w:val="000000" w:themeColor="text1"/>
          <w:lang w:val="en-US"/>
        </w:rPr>
        <w:t xml:space="preserve">. </w:t>
      </w:r>
      <w:r w:rsidR="000E104B" w:rsidRPr="00245623">
        <w:rPr>
          <w:color w:val="000000" w:themeColor="text1"/>
          <w:lang w:val="en-US"/>
        </w:rPr>
        <w:t>In particular,</w:t>
      </w:r>
      <w:r w:rsidR="008A5A85" w:rsidRPr="00245623">
        <w:rPr>
          <w:color w:val="000000" w:themeColor="text1"/>
          <w:lang w:val="en-US"/>
        </w:rPr>
        <w:t xml:space="preserve"> </w:t>
      </w:r>
      <w:r w:rsidR="00BB2BA4" w:rsidRPr="00245623">
        <w:rPr>
          <w:color w:val="000000" w:themeColor="text1"/>
          <w:lang w:val="en-US"/>
        </w:rPr>
        <w:t xml:space="preserve">previous </w:t>
      </w:r>
      <w:r w:rsidR="008A5A85" w:rsidRPr="00245623">
        <w:rPr>
          <w:color w:val="000000" w:themeColor="text1"/>
          <w:lang w:val="en-US"/>
        </w:rPr>
        <w:t xml:space="preserve">MRS </w:t>
      </w:r>
      <w:r w:rsidR="000E104B" w:rsidRPr="00245623">
        <w:rPr>
          <w:color w:val="000000" w:themeColor="text1"/>
          <w:lang w:val="en-US"/>
        </w:rPr>
        <w:t>data suggested</w:t>
      </w:r>
      <w:r w:rsidR="008A5A85" w:rsidRPr="00245623">
        <w:rPr>
          <w:color w:val="000000" w:themeColor="text1"/>
          <w:lang w:val="en-US"/>
        </w:rPr>
        <w:t xml:space="preserve"> </w:t>
      </w:r>
      <w:r w:rsidR="00DE2058" w:rsidRPr="00245623">
        <w:rPr>
          <w:color w:val="000000" w:themeColor="text1"/>
          <w:lang w:val="en-US"/>
        </w:rPr>
        <w:t xml:space="preserve">a </w:t>
      </w:r>
      <w:r w:rsidR="008A5A85" w:rsidRPr="00245623">
        <w:rPr>
          <w:lang w:val="en-US"/>
        </w:rPr>
        <w:t xml:space="preserve">reversible increase in taurine </w:t>
      </w:r>
      <w:r w:rsidR="00DE2058" w:rsidRPr="00245623">
        <w:rPr>
          <w:lang w:val="en-US"/>
        </w:rPr>
        <w:t xml:space="preserve">concentration </w:t>
      </w:r>
      <w:r w:rsidR="008A5A85" w:rsidRPr="00245623">
        <w:rPr>
          <w:lang w:val="en-US"/>
        </w:rPr>
        <w:t xml:space="preserve">and reversible reductions in </w:t>
      </w:r>
      <w:r w:rsidR="008A5A85" w:rsidRPr="00245623">
        <w:rPr>
          <w:i/>
          <w:lang w:val="en-US"/>
        </w:rPr>
        <w:t>N</w:t>
      </w:r>
      <w:r w:rsidR="008A5A85" w:rsidRPr="00245623">
        <w:rPr>
          <w:lang w:val="en-US"/>
        </w:rPr>
        <w:t>-</w:t>
      </w:r>
      <w:proofErr w:type="spellStart"/>
      <w:r w:rsidR="008A5A85" w:rsidRPr="00245623">
        <w:rPr>
          <w:lang w:val="en-US"/>
        </w:rPr>
        <w:t>acetylaspartate</w:t>
      </w:r>
      <w:proofErr w:type="spellEnd"/>
      <w:r w:rsidR="00DE2058" w:rsidRPr="00245623">
        <w:rPr>
          <w:lang w:val="en-US"/>
        </w:rPr>
        <w:t xml:space="preserve"> + </w:t>
      </w:r>
      <w:r w:rsidR="00DE2058" w:rsidRPr="00245623">
        <w:rPr>
          <w:i/>
          <w:color w:val="000000" w:themeColor="text1"/>
          <w:lang w:val="en-US"/>
        </w:rPr>
        <w:t>N</w:t>
      </w:r>
      <w:r w:rsidR="00DE2058" w:rsidRPr="00245623">
        <w:rPr>
          <w:color w:val="000000" w:themeColor="text1"/>
          <w:lang w:val="en-US"/>
        </w:rPr>
        <w:t>-</w:t>
      </w:r>
      <w:proofErr w:type="spellStart"/>
      <w:r w:rsidR="00DE2058" w:rsidRPr="00245623">
        <w:rPr>
          <w:color w:val="000000" w:themeColor="text1"/>
          <w:lang w:val="en-US"/>
        </w:rPr>
        <w:t>acetylaspartylglutamate</w:t>
      </w:r>
      <w:proofErr w:type="spellEnd"/>
      <w:r w:rsidR="008A5A85" w:rsidRPr="00245623">
        <w:rPr>
          <w:lang w:val="en-US"/>
        </w:rPr>
        <w:t xml:space="preserve">, </w:t>
      </w:r>
      <w:proofErr w:type="spellStart"/>
      <w:r w:rsidR="008A5A85" w:rsidRPr="00245623">
        <w:rPr>
          <w:lang w:val="en-US"/>
        </w:rPr>
        <w:t>tCho</w:t>
      </w:r>
      <w:proofErr w:type="spellEnd"/>
      <w:r w:rsidR="008A5A85" w:rsidRPr="00245623">
        <w:rPr>
          <w:lang w:val="en-US"/>
        </w:rPr>
        <w:t xml:space="preserve"> and glutamate</w:t>
      </w:r>
      <w:r w:rsidR="00DE2058" w:rsidRPr="00245623">
        <w:rPr>
          <w:lang w:val="en-US"/>
        </w:rPr>
        <w:t xml:space="preserve"> (</w:t>
      </w:r>
      <w:proofErr w:type="spellStart"/>
      <w:r w:rsidR="00DE2058" w:rsidRPr="00245623">
        <w:rPr>
          <w:lang w:val="en-US"/>
        </w:rPr>
        <w:t>Glu</w:t>
      </w:r>
      <w:proofErr w:type="spellEnd"/>
      <w:r w:rsidR="00DE2058" w:rsidRPr="00245623">
        <w:rPr>
          <w:lang w:val="en-US"/>
        </w:rPr>
        <w:t>) levels</w:t>
      </w:r>
      <w:r w:rsidR="008A5A85" w:rsidRPr="00245623">
        <w:rPr>
          <w:lang w:val="en-US"/>
        </w:rPr>
        <w:t xml:space="preserve">. </w:t>
      </w:r>
      <w:r w:rsidRPr="00245623">
        <w:rPr>
          <w:color w:val="000000" w:themeColor="text1"/>
          <w:lang w:val="en-US"/>
        </w:rPr>
        <w:t xml:space="preserve">Interestingly, </w:t>
      </w:r>
      <w:proofErr w:type="spellStart"/>
      <w:r w:rsidRPr="00245623">
        <w:rPr>
          <w:color w:val="000000" w:themeColor="text1"/>
          <w:lang w:val="en-US"/>
        </w:rPr>
        <w:t>tCho</w:t>
      </w:r>
      <w:proofErr w:type="spellEnd"/>
      <w:r w:rsidRPr="00245623">
        <w:rPr>
          <w:color w:val="000000" w:themeColor="text1"/>
          <w:lang w:val="en-US"/>
        </w:rPr>
        <w:t xml:space="preserve"> levels were </w:t>
      </w:r>
      <w:r w:rsidR="008A5A85" w:rsidRPr="00245623">
        <w:rPr>
          <w:color w:val="000000" w:themeColor="text1"/>
          <w:lang w:val="en-US"/>
        </w:rPr>
        <w:t xml:space="preserve">significantly </w:t>
      </w:r>
      <w:r w:rsidRPr="00245623">
        <w:rPr>
          <w:color w:val="000000" w:themeColor="text1"/>
          <w:lang w:val="en-US"/>
        </w:rPr>
        <w:t>reduced in CPZ mice</w:t>
      </w:r>
      <w:r w:rsidR="00927CBB" w:rsidRPr="00245623">
        <w:rPr>
          <w:color w:val="000000" w:themeColor="text1"/>
          <w:lang w:val="en-US"/>
        </w:rPr>
        <w:t xml:space="preserve"> after 6 weeks of intoxication</w:t>
      </w:r>
      <w:r w:rsidRPr="00245623">
        <w:rPr>
          <w:color w:val="000000" w:themeColor="text1"/>
          <w:lang w:val="en-US"/>
        </w:rPr>
        <w:t xml:space="preserve"> compared to healthy mice and </w:t>
      </w:r>
      <w:proofErr w:type="spellStart"/>
      <w:r w:rsidRPr="00245623">
        <w:rPr>
          <w:color w:val="000000" w:themeColor="text1"/>
          <w:lang w:val="en-US"/>
        </w:rPr>
        <w:t>mIns</w:t>
      </w:r>
      <w:proofErr w:type="spellEnd"/>
      <w:r w:rsidRPr="00245623">
        <w:rPr>
          <w:color w:val="000000" w:themeColor="text1"/>
          <w:lang w:val="en-US"/>
        </w:rPr>
        <w:t xml:space="preserve"> levels were unchanged, while histology proved evidence of ongoing inflammat</w:t>
      </w:r>
      <w:r w:rsidR="00A30EC1" w:rsidRPr="00245623">
        <w:rPr>
          <w:color w:val="000000" w:themeColor="text1"/>
          <w:lang w:val="en-US"/>
        </w:rPr>
        <w:t>ion</w:t>
      </w:r>
      <w:r w:rsidR="00BB2BA4" w:rsidRPr="00245623">
        <w:rPr>
          <w:color w:val="000000" w:themeColor="text1"/>
          <w:lang w:val="en-US"/>
        </w:rPr>
        <w:t xml:space="preserve"> </w:t>
      </w:r>
      <w:r w:rsidR="00BB2BA4" w:rsidRPr="00245623">
        <w:rPr>
          <w:color w:val="000000" w:themeColor="text1"/>
          <w:lang w:val="en-US"/>
        </w:rPr>
        <w:fldChar w:fldCharType="begin"/>
      </w:r>
      <w:r w:rsidR="00BB2BA4" w:rsidRPr="00245623">
        <w:rPr>
          <w:color w:val="000000" w:themeColor="text1"/>
          <w:lang w:val="en-US"/>
        </w:rPr>
        <w:instrText xml:space="preserve"> ADDIN ZOTERO_ITEM CSL_CITATION {"citationID":"Kc7ZR4wx","properties":{"formattedCitation":"\\super 8\\nosupersub{}","plainCitation":"8","noteIndex":0},"citationItems":[{"id":560,"uris":["http://zotero.org/users/local/JiswOD7j/items/YHDYWV9T"],"uri":["http://zotero.org/users/local/JiswOD7j/items/YHDYWV9T"],"itemData":{"id":560,"type":"article-journal","abstract":"Non-invasive measures of well-known pathological hallmarks of multiple sclerosis (MS) such as demyelination, inﬂammation and axonal injury would serve as useful markers to monitor disease progression and evaluate potential therapies. To this end, in vivo localized proton magnetic resonance spectroscopy (1H-MRS) provides a powerful means to monitor metabolic changes in the brain and may be sensitive to these pathological hallmarks. In our study, we used the cuprizone mouse model to study pathological features of MS, such as inﬂammation, deand remyelination, in a highly reproducible manner. C57BL/6J mice were challenged with a 0.2% cuprizone diet for 6-weeks to induce demyelination, thereafter the mice were put on a cuprizone free diet for another 6 weeks to induce spontaneous remyelination. We employed in vivo 1H-MRS to longitudinally monitor metabolic changes in the corpus callosum of cuprizone-fed mice during the demyelination (weeks 4 and 6) and spontaneous remyelination (week 12) phases. The MRS spectra were quantiﬁed with LCModel and since the total creatine (tCr) levels did not change over time or between groups, metabolite concentrations were expressed as ratios relative to tCr. After 4 and 6 weeks of cuprizone treatment a signiﬁcant increase in taurine/tCr and a signiﬁcant reduction in total N-acetylaspartate/tCr, total choline-containing compounds/tCr and glutamate/tCr could be observed compared to mice under normal diet. At week 12, when almost full remyelination was established, no statistically signiﬁcant metabolic differences were present between the control and cuprizone group. Our results suggest that these metabolic changes may represent sensitive markers for cuprizone induced demyelination, axonal injury and inﬂammation. To the best of our knowledge, this is the ﬁrst longitudinal in vivo 1H-MRS study that monitored biochemical changes in the corpus callosum of cuprizone fed mice.","container-title":"NeuroImage","DOI":"10.1016/j.neuroimage.2015.04.012","ISSN":"10538119","journalAbbreviation":"NeuroImage","language":"en","page":"128-135","source":"DOI.org (Crossref)","title":"Longitudinal monitoring of metabolic alterations in cuprizone mouse model of multiple sclerosis using 1H-magnetic resonance spectroscopy","volume":"114","author":[{"family":"Orije","given":"Jasmien"},{"family":"Kara","given":"Firat"},{"family":"Guglielmetti","given":"Caroline"},{"family":"Praet","given":"Jelle"},{"family":"Van der Linden","given":"Annemie"},{"family":"Ponsaerts","given":"Peter"},{"family":"Verhoye","given":"Marleen"}],"issued":{"date-parts":[["2015",7]]}}}],"schema":"https://github.com/citation-style-language/schema/raw/master/csl-citation.json"} </w:instrText>
      </w:r>
      <w:r w:rsidR="00BB2BA4" w:rsidRPr="00245623">
        <w:rPr>
          <w:color w:val="000000" w:themeColor="text1"/>
          <w:lang w:val="en-US"/>
        </w:rPr>
        <w:fldChar w:fldCharType="separate"/>
      </w:r>
      <w:r w:rsidR="00BB2BA4" w:rsidRPr="00245623">
        <w:rPr>
          <w:color w:val="000000"/>
          <w:vertAlign w:val="superscript"/>
          <w:lang w:val="en-US"/>
        </w:rPr>
        <w:t>8</w:t>
      </w:r>
      <w:r w:rsidR="00BB2BA4" w:rsidRPr="00245623">
        <w:rPr>
          <w:color w:val="000000" w:themeColor="text1"/>
          <w:lang w:val="en-US"/>
        </w:rPr>
        <w:fldChar w:fldCharType="end"/>
      </w:r>
      <w:r w:rsidRPr="00245623">
        <w:rPr>
          <w:color w:val="000000" w:themeColor="text1"/>
          <w:lang w:val="en-US"/>
        </w:rPr>
        <w:t>.</w:t>
      </w:r>
    </w:p>
    <w:p w14:paraId="1CDD7377" w14:textId="08C2D387" w:rsidR="00BE7097" w:rsidRPr="00245623" w:rsidRDefault="00EE520D" w:rsidP="00240B0C">
      <w:pPr>
        <w:spacing w:line="480" w:lineRule="auto"/>
        <w:jc w:val="both"/>
        <w:rPr>
          <w:lang w:val="en-US"/>
        </w:rPr>
      </w:pPr>
      <w:r w:rsidRPr="00245623">
        <w:rPr>
          <w:color w:val="000000" w:themeColor="text1"/>
          <w:lang w:val="en-US"/>
        </w:rPr>
        <w:t>In contrast to conventional MRS, diffusion-weighted MRS (DW-MRS) informs on cell-specific microstructural abnormalities by probing the motion of several metabolites in brain tissue</w:t>
      </w:r>
      <w:r w:rsidR="00F56879" w:rsidRPr="00245623">
        <w:rPr>
          <w:color w:val="000000" w:themeColor="text1"/>
          <w:lang w:val="en-US"/>
        </w:rPr>
        <w:t xml:space="preserve"> </w:t>
      </w:r>
      <w:r w:rsidR="00F56879" w:rsidRPr="00245623">
        <w:rPr>
          <w:color w:val="000000" w:themeColor="text1"/>
          <w:lang w:val="en-US"/>
        </w:rPr>
        <w:fldChar w:fldCharType="begin"/>
      </w:r>
      <w:r w:rsidR="00AC7306" w:rsidRPr="00245623">
        <w:rPr>
          <w:color w:val="000000" w:themeColor="text1"/>
          <w:lang w:val="en-US"/>
        </w:rPr>
        <w:instrText xml:space="preserve"> ADDIN ZOTERO_ITEM CSL_CITATION {"citationID":"W2ERDVe9","properties":{"formattedCitation":"\\super 15\\uc0\\u8211{}17\\nosupersub{}","plainCitation":"15–17","noteIndex":0},"citationItems":[{"id":331,"uris":["http://zotero.org/users/local/JiswOD7j/items/BECFRFYV"],"uri":["http://zotero.org/users/local/JiswOD7j/items/BECFRFYV"],"itemData":{"id":331,"type":"article-journal","abstract":"MR offers unique tools for measuring molecular diffusion. This review focuses on the use of diffusionweighted MR spectroscopy (DW-MRS) to non-invasively quantitate the translational displacement of endogenous metabolites in intact mammalian tissues. Most of the metabolites that are observed by in vivo MRS are predominantly located in the intracellular compartment. DW-MRS is of fundamental interest because it enables one to probe the in situ status of the intracellular space from the diffusion characteristics of the metabolites, while at the same time providing information on the intrinsic diffusion properties of the metabolites themselves. Alternative techniques require the introduction of exogenous probe molecules, which involves invasive procedures, and are also unable to measure molecular diffusion in and throughout intact tissues. The length scale of the process(es) probed by MR is in the micrometer range which is of the same order as the dimensions of many intracellular entities. DW-MRS has been used to estimate the dimensions of the cellular elements that restrict intracellular metabolite diffusion in muscle and nerve tissue. In addition, it has been shown that DW-MRS can provide novel information on the cellular response to pathophysiological changes in relation to a range of disorders, including ischemia and excitotoxicity of the brain and cancer. Copyright  2001 John Wiley &amp; Sons, Ltd.","container-title":"NMR in Biomedicine","DOI":"10.1002/nbm.686","ISSN":"0952-3480, 1099-1492","issue":"2","language":"en","page":"94-111","source":"Crossref","title":"Diffusion NMR spectroscopy","volume":"14","author":[{"family":"Nicolay","given":"Klaas"},{"family":"Braun","given":"Kees P. J."},{"family":"Graaf","given":"Robin A.","non-dropping-particle":"de"},{"family":"Dijkhuizen","given":"Rick M."},{"family":"Kruiskamp","given":"Marijn J."}],"issued":{"date-parts":[["2001",4]]}},"label":"page"},{"id":335,"uris":["http://zotero.org/users/local/JiswOD7j/items/YX9WQ8ZM"],"uri":["http://zotero.org/users/local/JiswOD7j/items/YX9WQ8ZM"],"itemData":{"id":335,"type":"article-journal","abstract":"Many developmental processes, such as plasticity and aging, or pathological processes such as neurological diseases are characterized by modulations of specific cellular types and their microstructures. Diffusion-weighted Magnetic Resonance Imaging (DW-MRI) is a powerful technique for probing microstructure, yet its information arises from the ubiquitous, nonspecific water signal. By contrast, diffusion-weighted Magnetic Resonance Spectroscopy (DW-MRS) allows specific characterizations of tissues such as brain and muscle in vivo by quantifying the diffusion properties of MR-observable metabolites. Many brain metabolites are predominantly intracellular, and some of them are preferentially localized in specific brain cell populations, e.g., neurons and glia. Given the microstructural sensitivity of diffusion-encoding filters, investigation of metabolite diffusion properties using DW-MRS can thus provide exclusive cell and compartment-specific information. Furthermore, since many models and assumptions are used for quantification of water diffusion, metabolite diffusion may serve to generate a-priori information for model selection in DW-MRI. However, DWMRS measurements are extremely challenging, from the acquisition to the accurate and correct analysis and quantification stages. In this review, we survey the state-of-the-art methods that have been developed for the robust acquisition, quantification and analysis of DW-MRS data and discuss the potential relevance of DW-MRS for elucidating brain microstructure in vivo. The review highlights that when accurate data on the diffusion of multiple metabolites is combined with accurate computational and geometrical modelling, DW-MRS can provide unique cell-specific information on the intracellular structure of brain tissue, in health and disease, which could serve as incentives for further application in vivo in human research and clinical MRI.","container-title":"NeuroImage","DOI":"10.1016/j.neuroimage.2017.11.028","ISSN":"10538119","language":"en","page":"97-116","source":"Crossref","title":"Insights into brain microstructure from in vivo DW-MRS","volume":"182","author":[{"family":"Palombo","given":"Marco"},{"family":"Shemesh","given":"Noam"},{"family":"Ronen","given":"Itamar"},{"family":"Valette","given":"Julien"}],"issued":{"date-parts":[["2018",11]]}},"label":"page"},{"id":338,"uris":["http://zotero.org/users/local/JiswOD7j/items/4EJ9YXRF"],"uri":["http://zotero.org/users/local/JiswOD7j/items/4EJ9YXRF"],"itemData":{"id":338,"type":"chapter","abstract":"Diffusion-weighted magnetic resonance spectroscopy (DW-MRS) is a unique tool for the noninvasive exploration of the structure and physiology of the intracellular space in vivo. The method combines sensitization to diffusion using magnetic ﬁeld gradients with a variety of localized MRS sequences, and thus provides the means to measure and quantify the diffusion properties of intracellular metabolites in various tissues, most commonly in the brain and in skeletal muscle. As several metabolites are preferentially found in different cell types, an investigation of the intracellular space using DW-MRS also provides cell-speciﬁc information. Information obtained from DW-MRS experiments is relevant to the assessment of the fundamental properties of the intracellular space, contributes to the understanding of diffusion-weighted MR imaging (DWI), and provides valuable information for the characterization of different pathological mechanisms in several diseases. DW-MRS measurements are extremely challenging, both from the acquisition perspective as well as from the analysis and quantiﬁcation standpoint. In this article, we will present the background and motivation for performing DW-MRS studies, the various methods that have been developed thus far for the robust acquisition and analysis of DW-MRS data, and survey the variety of applications in which DW-MRS has been used to date.","container-title":"eMagRes","event-place":"Chichester, UK","ISBN":"978-0-470-03459-0","language":"en","note":"DOI: 10.1002/9780470034590.emrstm1471","page":"733-750","publisher":"John Wiley &amp; Sons, Ltd","publisher-place":"Chichester, UK","source":"Crossref","title":"Diffusion-Weighted Magnetic Resonance Spectroscopy","URL":"http://doi.wiley.com/10.1002/9780470034590.emrstm1471","editor":[{"family":"Harris","given":"Robin K."},{"family":"Wasylishen","given":"Roderick L."}],"author":[{"family":"Ronen","given":"Itamar"},{"family":"Valette","given":"Julien"}],"accessed":{"date-parts":[["2019",2,22]]},"issued":{"date-parts":[["2015",12,15]]}},"label":"page"}],"schema":"https://github.com/citation-style-language/schema/raw/master/csl-citation.json"} </w:instrText>
      </w:r>
      <w:r w:rsidR="00F56879" w:rsidRPr="00245623">
        <w:rPr>
          <w:color w:val="000000" w:themeColor="text1"/>
          <w:lang w:val="en-US"/>
        </w:rPr>
        <w:fldChar w:fldCharType="separate"/>
      </w:r>
      <w:r w:rsidR="00AC7306" w:rsidRPr="00245623">
        <w:rPr>
          <w:color w:val="000000"/>
          <w:vertAlign w:val="superscript"/>
          <w:lang w:val="en-US"/>
        </w:rPr>
        <w:t>15–17</w:t>
      </w:r>
      <w:r w:rsidR="00F56879" w:rsidRPr="00245623">
        <w:rPr>
          <w:color w:val="000000" w:themeColor="text1"/>
          <w:lang w:val="en-US"/>
        </w:rPr>
        <w:fldChar w:fldCharType="end"/>
      </w:r>
      <w:r w:rsidR="00787798" w:rsidRPr="00245623">
        <w:rPr>
          <w:color w:val="000000" w:themeColor="text1"/>
          <w:lang w:val="en-US"/>
        </w:rPr>
        <w:t>. DW-MRS</w:t>
      </w:r>
      <w:r w:rsidR="00854D99" w:rsidRPr="00245623">
        <w:rPr>
          <w:rStyle w:val="Marquedecommentaire"/>
          <w:rFonts w:eastAsia="WenQuanYi Micro Hei"/>
          <w:color w:val="00000A"/>
          <w:lang w:val="en-US" w:eastAsia="zh-CN" w:bidi="hi-IN"/>
        </w:rPr>
        <w:t xml:space="preserve"> </w:t>
      </w:r>
      <w:r w:rsidR="003077D0" w:rsidRPr="00245623">
        <w:rPr>
          <w:color w:val="000000" w:themeColor="text1"/>
          <w:lang w:val="en-US"/>
        </w:rPr>
        <w:t>has been</w:t>
      </w:r>
      <w:r w:rsidRPr="00245623">
        <w:rPr>
          <w:color w:val="000000" w:themeColor="text1"/>
          <w:lang w:val="en-US"/>
        </w:rPr>
        <w:t xml:space="preserve"> suggested to be more sensitive to </w:t>
      </w:r>
      <w:r w:rsidR="00D52CDE" w:rsidRPr="00245623">
        <w:rPr>
          <w:color w:val="000000" w:themeColor="text1"/>
          <w:lang w:val="en-US"/>
        </w:rPr>
        <w:t xml:space="preserve">glial reactivity </w:t>
      </w:r>
      <w:r w:rsidRPr="00245623">
        <w:rPr>
          <w:color w:val="000000" w:themeColor="text1"/>
          <w:lang w:val="en-US"/>
        </w:rPr>
        <w:t xml:space="preserve">than classical MRS from both clinical and preclinical investigations. Specifically, </w:t>
      </w:r>
      <w:proofErr w:type="spellStart"/>
      <w:r w:rsidRPr="00245623">
        <w:rPr>
          <w:color w:val="000000" w:themeColor="text1"/>
          <w:lang w:val="en-US"/>
        </w:rPr>
        <w:t>tCho</w:t>
      </w:r>
      <w:proofErr w:type="spellEnd"/>
      <w:r w:rsidRPr="00245623">
        <w:rPr>
          <w:color w:val="000000" w:themeColor="text1"/>
          <w:lang w:val="en-US"/>
        </w:rPr>
        <w:t xml:space="preserve"> and </w:t>
      </w:r>
      <w:proofErr w:type="spellStart"/>
      <w:r w:rsidRPr="00245623">
        <w:rPr>
          <w:color w:val="000000" w:themeColor="text1"/>
          <w:lang w:val="en-US"/>
        </w:rPr>
        <w:t>mIns</w:t>
      </w:r>
      <w:proofErr w:type="spellEnd"/>
      <w:r w:rsidRPr="00245623">
        <w:rPr>
          <w:color w:val="000000" w:themeColor="text1"/>
          <w:lang w:val="en-US"/>
        </w:rPr>
        <w:t xml:space="preserve"> diffusion </w:t>
      </w:r>
      <w:r w:rsidR="00BA0D97" w:rsidRPr="00245623">
        <w:rPr>
          <w:color w:val="000000" w:themeColor="text1"/>
          <w:lang w:val="en-US"/>
        </w:rPr>
        <w:t xml:space="preserve">alterations </w:t>
      </w:r>
      <w:r w:rsidR="003077D0" w:rsidRPr="00245623">
        <w:rPr>
          <w:color w:val="000000" w:themeColor="text1"/>
          <w:lang w:val="en-US"/>
        </w:rPr>
        <w:t>have been</w:t>
      </w:r>
      <w:r w:rsidRPr="00245623">
        <w:rPr>
          <w:color w:val="000000" w:themeColor="text1"/>
          <w:lang w:val="en-US"/>
        </w:rPr>
        <w:t xml:space="preserve"> </w:t>
      </w:r>
      <w:r w:rsidR="00C141C4" w:rsidRPr="00245623">
        <w:rPr>
          <w:color w:val="000000" w:themeColor="text1"/>
          <w:lang w:val="en-US"/>
        </w:rPr>
        <w:t>linked to</w:t>
      </w:r>
      <w:r w:rsidRPr="00245623">
        <w:rPr>
          <w:color w:val="000000" w:themeColor="text1"/>
          <w:lang w:val="en-US"/>
        </w:rPr>
        <w:t xml:space="preserve"> glial cell hypertrophy </w:t>
      </w:r>
      <w:r w:rsidR="00C141C4" w:rsidRPr="00245623">
        <w:rPr>
          <w:color w:val="000000" w:themeColor="text1"/>
          <w:lang w:val="en-US"/>
        </w:rPr>
        <w:t>driven by</w:t>
      </w:r>
      <w:r w:rsidR="00A30EC1" w:rsidRPr="00245623">
        <w:rPr>
          <w:color w:val="000000" w:themeColor="text1"/>
          <w:lang w:val="en-US"/>
        </w:rPr>
        <w:t xml:space="preserve"> </w:t>
      </w:r>
      <w:r w:rsidRPr="00245623">
        <w:rPr>
          <w:color w:val="000000" w:themeColor="text1"/>
          <w:lang w:val="en-US"/>
        </w:rPr>
        <w:t>inflammation proces</w:t>
      </w:r>
      <w:r w:rsidR="00A30EC1" w:rsidRPr="00245623">
        <w:rPr>
          <w:color w:val="000000" w:themeColor="text1"/>
          <w:lang w:val="en-US"/>
        </w:rPr>
        <w:t>s</w:t>
      </w:r>
      <w:r w:rsidR="00BA10DD" w:rsidRPr="00245623">
        <w:rPr>
          <w:color w:val="000000" w:themeColor="text1"/>
          <w:lang w:val="en-US"/>
        </w:rPr>
        <w:t xml:space="preserve"> </w:t>
      </w:r>
      <w:r w:rsidR="00BA76C6" w:rsidRPr="00245623">
        <w:rPr>
          <w:color w:val="000000" w:themeColor="text1"/>
          <w:lang w:val="en-US"/>
        </w:rPr>
        <w:fldChar w:fldCharType="begin"/>
      </w:r>
      <w:r w:rsidR="00AC7306" w:rsidRPr="00245623">
        <w:rPr>
          <w:color w:val="000000" w:themeColor="text1"/>
          <w:lang w:val="en-US"/>
        </w:rPr>
        <w:instrText xml:space="preserve"> ADDIN ZOTERO_ITEM CSL_CITATION {"citationID":"e9JhJFbB","properties":{"formattedCitation":"\\super 18,19\\nosupersub{}","plainCitation":"18,19","noteIndex":0},"citationItems":[{"id":311,"uris":["http://zotero.org/users/local/JiswOD7j/items/N7QKKWQJ"],"uri":["http://zotero.org/users/local/JiswOD7j/items/N7QKKWQJ"],"itemData":{"id":311,"type":"article-journal","container-title":"Brain","DOI":"10.1093/brain/aww031","ISSN":"0006-8950, 1460-2156","issue":"5","language":"en","page":"1447-1457","source":"Crossref","title":"Glial and axonal changes in systemic lupus erythematosus measured with diffusion of intracellular metabolites","volume":"139","author":[{"family":"Ercan","given":"Ece"},{"family":"Magro-Checa","given":"Cesar"},{"family":"Valabregue","given":"Romain"},{"family":"Branzoli","given":"Francesca"},{"family":"Wood","given":"Emily T."},{"family":"Steup-Beekman","given":"Gerda M."},{"family":"Webb","given":"Andrew G."},{"family":"Huizinga","given":"Tom W. J."},{"family":"Buchem","given":"Mark A.","non-dropping-particle":"van"},{"family":"Ronen","given":"Itamar"}],"issued":{"date-parts":[["2016",5]]}},"label":"page"},{"id":399,"uris":["http://zotero.org/users/local/JiswOD7j/items/4Q7K2TN7"],"uri":["http://zotero.org/users/local/JiswOD7j/items/4Q7K2TN7"],"itemData":{"id":399,"type":"article-journal","abstract":"Reactive astrocytes exhibit hypertrophic morphology and altered metabolism. Deciphering astrocytic status would be of great importance to understand their role and dysregulation in pathologies, but most analytical methods remain highly invasive or destructive. The diffusion of brain metabolites, as non-invasively measured using diffusion-weighted magnetic resonance spectroscopy (DW-MRS) in vivo, depends on the structure of their micro-environment. Here we perform advanced DW-MRS in a mouse model of reactive astrocytes to determine how cellular compartments conﬁning metabolite diffusion are changing. This reveals myo-inositol as a speciﬁc intraastrocytic marker whose diffusion closely reﬂects astrocytic morphology, enabling non-invasive detection of astrocyte hypertrophy (subsequently conﬁrmed by confocal microscopy ex vivo). Furthermore, we measure massive variations of lactate diffusion properties, suggesting that intracellular lactate is predominantly astrocytic under control conditions, but predominantly neuronal in case of astrocyte reactivity. This indicates massive remodeling of lactate metabolism, as lactate compartmentation is tightly linked to the astrocyte-to-neuron lactate shuttle mechanism.","container-title":"NeuroImage","DOI":"10.1016/j.neuroimage.2019.02.046","ISSN":"10538119","language":"en","page":"457-469","source":"Crossref","title":"Diffusion-weighted magnetic resonance spectroscopy enables cell-specific monitoring of astrocyte reactivity in vivo","volume":"191","author":[{"family":"Ligneul","given":"Clémence"},{"family":"Palombo","given":"Marco"},{"family":"Hernández-Garzón","given":"Edwin"},{"family":"Carrillo-de Sauvage","given":"María-Angeles"},{"family":"Flament","given":"Julien"},{"family":"Hantraye","given":"Philippe"},{"family":"Brouillet","given":"Emmanuel"},{"family":"Bonvento","given":"Gilles"},{"family":"Escartin","given":"Carole"},{"family":"Valette","given":"Julien"}],"issued":{"date-parts":[["2019",5]]}},"label":"page"}],"schema":"https://github.com/citation-style-language/schema/raw/master/csl-citation.json"} </w:instrText>
      </w:r>
      <w:r w:rsidR="00BA76C6" w:rsidRPr="00245623">
        <w:rPr>
          <w:color w:val="000000" w:themeColor="text1"/>
          <w:lang w:val="en-US"/>
        </w:rPr>
        <w:fldChar w:fldCharType="separate"/>
      </w:r>
      <w:r w:rsidR="00AC7306" w:rsidRPr="00245623">
        <w:rPr>
          <w:color w:val="000000"/>
          <w:vertAlign w:val="superscript"/>
          <w:lang w:val="en-US"/>
        </w:rPr>
        <w:t>18,19</w:t>
      </w:r>
      <w:r w:rsidR="00BA76C6" w:rsidRPr="00245623">
        <w:rPr>
          <w:color w:val="000000" w:themeColor="text1"/>
          <w:lang w:val="en-US"/>
        </w:rPr>
        <w:fldChar w:fldCharType="end"/>
      </w:r>
      <w:r w:rsidRPr="00245623">
        <w:rPr>
          <w:color w:val="000000" w:themeColor="text1"/>
          <w:lang w:val="en-US"/>
        </w:rPr>
        <w:t xml:space="preserve">. </w:t>
      </w:r>
      <w:r w:rsidR="00BA0D97" w:rsidRPr="00245623">
        <w:rPr>
          <w:color w:val="000000" w:themeColor="text1"/>
          <w:lang w:val="en-US"/>
        </w:rPr>
        <w:t xml:space="preserve">On the other hand, </w:t>
      </w:r>
      <w:r w:rsidR="00854D99" w:rsidRPr="00245623">
        <w:rPr>
          <w:color w:val="000000" w:themeColor="text1"/>
          <w:lang w:val="en-US"/>
        </w:rPr>
        <w:t xml:space="preserve">the </w:t>
      </w:r>
      <w:r w:rsidR="00BA0D97" w:rsidRPr="00245623">
        <w:rPr>
          <w:color w:val="000000" w:themeColor="text1"/>
          <w:lang w:val="en-US"/>
        </w:rPr>
        <w:t xml:space="preserve">diffusion of the neuronal metabolite </w:t>
      </w:r>
      <w:r w:rsidR="00BA0D97" w:rsidRPr="00245623">
        <w:rPr>
          <w:i/>
          <w:color w:val="000000" w:themeColor="text1"/>
          <w:lang w:val="en-US"/>
        </w:rPr>
        <w:t>N</w:t>
      </w:r>
      <w:r w:rsidR="00BA0D97" w:rsidRPr="00245623">
        <w:rPr>
          <w:color w:val="000000" w:themeColor="text1"/>
          <w:lang w:val="en-US"/>
        </w:rPr>
        <w:t>-</w:t>
      </w:r>
      <w:proofErr w:type="spellStart"/>
      <w:r w:rsidR="00BA0D97" w:rsidRPr="00245623">
        <w:rPr>
          <w:color w:val="000000" w:themeColor="text1"/>
          <w:lang w:val="en-US"/>
        </w:rPr>
        <w:t>acetylaspartate</w:t>
      </w:r>
      <w:proofErr w:type="spellEnd"/>
      <w:r w:rsidR="005311D7" w:rsidRPr="00245623">
        <w:rPr>
          <w:color w:val="000000" w:themeColor="text1"/>
          <w:lang w:val="en-US"/>
        </w:rPr>
        <w:t xml:space="preserve">, co-measured with </w:t>
      </w:r>
      <w:r w:rsidR="005311D7" w:rsidRPr="00245623">
        <w:rPr>
          <w:i/>
          <w:color w:val="000000" w:themeColor="text1"/>
          <w:lang w:val="en-US"/>
        </w:rPr>
        <w:t>N</w:t>
      </w:r>
      <w:r w:rsidR="005311D7" w:rsidRPr="00245623">
        <w:rPr>
          <w:color w:val="000000" w:themeColor="text1"/>
          <w:lang w:val="en-US"/>
        </w:rPr>
        <w:t>-</w:t>
      </w:r>
      <w:proofErr w:type="spellStart"/>
      <w:r w:rsidR="005311D7" w:rsidRPr="00245623">
        <w:rPr>
          <w:color w:val="000000" w:themeColor="text1"/>
          <w:lang w:val="en-US"/>
        </w:rPr>
        <w:t>acetylaspartylglutam</w:t>
      </w:r>
      <w:r w:rsidR="00582EA6" w:rsidRPr="00245623">
        <w:rPr>
          <w:color w:val="000000" w:themeColor="text1"/>
          <w:lang w:val="en-US"/>
        </w:rPr>
        <w:t>ate</w:t>
      </w:r>
      <w:proofErr w:type="spellEnd"/>
      <w:r w:rsidR="005311D7" w:rsidRPr="00245623">
        <w:rPr>
          <w:color w:val="000000" w:themeColor="text1"/>
          <w:lang w:val="en-US"/>
        </w:rPr>
        <w:t>,</w:t>
      </w:r>
      <w:r w:rsidR="00BA0D97" w:rsidRPr="00245623">
        <w:rPr>
          <w:color w:val="000000" w:themeColor="text1"/>
          <w:lang w:val="en-US"/>
        </w:rPr>
        <w:t xml:space="preserve"> (</w:t>
      </w:r>
      <w:proofErr w:type="spellStart"/>
      <w:r w:rsidR="005311D7" w:rsidRPr="00245623">
        <w:rPr>
          <w:color w:val="000000" w:themeColor="text1"/>
          <w:lang w:val="en-US"/>
        </w:rPr>
        <w:t>t</w:t>
      </w:r>
      <w:r w:rsidR="00BA0D97" w:rsidRPr="00245623">
        <w:rPr>
          <w:color w:val="000000" w:themeColor="text1"/>
          <w:lang w:val="en-US"/>
        </w:rPr>
        <w:t>NAA</w:t>
      </w:r>
      <w:proofErr w:type="spellEnd"/>
      <w:r w:rsidR="00BA0D97" w:rsidRPr="00245623">
        <w:rPr>
          <w:color w:val="000000" w:themeColor="text1"/>
          <w:lang w:val="en-US"/>
        </w:rPr>
        <w:t xml:space="preserve">) </w:t>
      </w:r>
      <w:r w:rsidR="003077D0" w:rsidRPr="00245623">
        <w:rPr>
          <w:color w:val="000000" w:themeColor="text1"/>
          <w:lang w:val="en-US"/>
        </w:rPr>
        <w:t>has been</w:t>
      </w:r>
      <w:r w:rsidR="00BA0D97" w:rsidRPr="00245623">
        <w:rPr>
          <w:color w:val="000000" w:themeColor="text1"/>
          <w:lang w:val="en-US"/>
        </w:rPr>
        <w:t xml:space="preserve"> proposed as </w:t>
      </w:r>
      <w:r w:rsidR="00A30EC1" w:rsidRPr="00245623">
        <w:rPr>
          <w:color w:val="000000" w:themeColor="text1"/>
          <w:lang w:val="en-US"/>
        </w:rPr>
        <w:t xml:space="preserve">a </w:t>
      </w:r>
      <w:r w:rsidR="00BA0D97" w:rsidRPr="00245623">
        <w:rPr>
          <w:color w:val="000000" w:themeColor="text1"/>
          <w:lang w:val="en-US"/>
        </w:rPr>
        <w:t>marker of intra-axonal integrity</w:t>
      </w:r>
      <w:r w:rsidR="00CF73B5" w:rsidRPr="00245623">
        <w:rPr>
          <w:color w:val="000000" w:themeColor="text1"/>
          <w:lang w:val="en-US"/>
        </w:rPr>
        <w:t xml:space="preserve"> </w:t>
      </w:r>
      <w:r w:rsidR="00BA76C6" w:rsidRPr="00245623">
        <w:rPr>
          <w:color w:val="000000" w:themeColor="text1"/>
          <w:lang w:val="en-US"/>
        </w:rPr>
        <w:fldChar w:fldCharType="begin"/>
      </w:r>
      <w:r w:rsidR="00AC7306" w:rsidRPr="00245623">
        <w:rPr>
          <w:color w:val="000000" w:themeColor="text1"/>
          <w:lang w:val="en-US"/>
        </w:rPr>
        <w:instrText xml:space="preserve"> ADDIN ZOTERO_ITEM CSL_CITATION {"citationID":"mAB7wia7","properties":{"formattedCitation":"\\super 20\\nosupersub{}","plainCitation":"20","noteIndex":0},"citationItems":[{"id":342,"uris":["http://zotero.org/users/local/JiswOD7j/items/U653S62Y"],"uri":["http://zotero.org/users/local/JiswOD7j/items/U653S62Y"],"itemData":{"id":342,"type":"article-journal","abstract":"Sensitive and specific in vivo measures of axonal damage, an important determinant of clinical status in multiple sclerosis (MS), might greatly benefit prognostication and therapy assessment. Diffusion tensor spectroscopy (DTS) combines features of diffusion tensor imaging and magnetic resonance spectroscopy, allowing measurement of the diffusion properties of intracellular, celltype-specific metabolites. As such, it may be sensitive to disruption of tissue microstructure within neurons. In this cross-sectional pilot study, diffusion of the neuronal metabolite N-acetylaspartate (NAA) was measured in the human normal appearing corpus callosum on a 7 tesla MRI scanner, comparing 15 MS patients and 14 healthy controls. We found that NAA parallel diffusivity is lower in MS (p=0.030) and inversely correlated with both water parallel diffusivity (p=0.020) and clinical severity (p=0.015). Interpreted in the context of previous experiments, our findings provide preliminary evidence that DTS can distinguish axonopathy from other processes such as inflammation, edema, demyelination, and gliosis. By detecting reduced diffusion of NAA parallel to axons in white matter, DTS may thus be capable of distinguishing axonal disruption in MS in the setting of increased parallel diffusion of water, which is commonly observed in MS but pathologically nonspecific.","container-title":"Journal of Neuroscience","DOI":"10.1523/JNEUROSCI.0044-12.2012","ISSN":"0270-6474, 1529-2401","issue":"19","language":"en","page":"6665-6669","source":"Crossref","title":"Investigating Axonal Damage in Multiple Sclerosis by Diffusion Tensor Spectroscopy","volume":"32","author":[{"family":"Wood","given":"E. T."},{"family":"Ronen","given":"I."},{"family":"Techawiboonwong","given":"A."},{"family":"Jones","given":"C. K."},{"family":"Barker","given":"P. B."},{"family":"Calabresi","given":"P."},{"family":"Harrison","given":"D."},{"family":"Reich","given":"D. S."}],"issued":{"date-parts":[["2012",5,9]]}}}],"schema":"https://github.com/citation-style-language/schema/raw/master/csl-citation.json"} </w:instrText>
      </w:r>
      <w:r w:rsidR="00BA76C6" w:rsidRPr="00245623">
        <w:rPr>
          <w:color w:val="000000" w:themeColor="text1"/>
          <w:lang w:val="en-US"/>
        </w:rPr>
        <w:fldChar w:fldCharType="separate"/>
      </w:r>
      <w:r w:rsidR="00AC7306" w:rsidRPr="00245623">
        <w:rPr>
          <w:color w:val="000000"/>
          <w:vertAlign w:val="superscript"/>
          <w:lang w:val="en-US"/>
        </w:rPr>
        <w:t>20</w:t>
      </w:r>
      <w:r w:rsidR="00BA76C6" w:rsidRPr="00245623">
        <w:rPr>
          <w:color w:val="000000" w:themeColor="text1"/>
          <w:lang w:val="en-US"/>
        </w:rPr>
        <w:fldChar w:fldCharType="end"/>
      </w:r>
      <w:r w:rsidR="00BA0D97" w:rsidRPr="00245623">
        <w:rPr>
          <w:color w:val="000000" w:themeColor="text1"/>
          <w:lang w:val="en-US"/>
        </w:rPr>
        <w:t>.</w:t>
      </w:r>
    </w:p>
    <w:p w14:paraId="76A34E6E" w14:textId="064CCE69" w:rsidR="00BE7097" w:rsidRPr="00245623" w:rsidRDefault="00EE520D" w:rsidP="003A5EE1">
      <w:pPr>
        <w:spacing w:line="480" w:lineRule="auto"/>
        <w:jc w:val="both"/>
        <w:rPr>
          <w:color w:val="000000" w:themeColor="text1"/>
          <w:lang w:val="en-US"/>
        </w:rPr>
      </w:pPr>
      <w:r w:rsidRPr="00245623">
        <w:rPr>
          <w:color w:val="000000" w:themeColor="text1"/>
          <w:lang w:val="en-US"/>
        </w:rPr>
        <w:t xml:space="preserve">The main goals of this study were to validate DW-MRS markers of inflammation with histological markers of glial cells and to compare their utility with </w:t>
      </w:r>
      <w:r w:rsidR="005477D5" w:rsidRPr="00245623">
        <w:rPr>
          <w:color w:val="000000" w:themeColor="text1"/>
          <w:lang w:val="en-US"/>
        </w:rPr>
        <w:t xml:space="preserve">respect to </w:t>
      </w:r>
      <w:r w:rsidRPr="00245623">
        <w:rPr>
          <w:color w:val="000000" w:themeColor="text1"/>
          <w:lang w:val="en-US"/>
        </w:rPr>
        <w:t xml:space="preserve">conventional MRS measurements. To this aim, we performed single-voxel DW-MRS experiments in the corpus callosum of </w:t>
      </w:r>
      <w:r w:rsidR="00B515F3" w:rsidRPr="00245623">
        <w:rPr>
          <w:color w:val="000000" w:themeColor="text1"/>
          <w:lang w:val="en-US"/>
        </w:rPr>
        <w:t>control</w:t>
      </w:r>
      <w:r w:rsidRPr="00245623">
        <w:rPr>
          <w:color w:val="000000" w:themeColor="text1"/>
          <w:lang w:val="en-US"/>
        </w:rPr>
        <w:t xml:space="preserve"> and</w:t>
      </w:r>
      <w:r w:rsidR="001E53CA" w:rsidRPr="00245623">
        <w:rPr>
          <w:color w:val="000000" w:themeColor="text1"/>
          <w:lang w:val="en-US"/>
        </w:rPr>
        <w:t xml:space="preserve"> </w:t>
      </w:r>
      <w:r w:rsidRPr="00245623">
        <w:rPr>
          <w:color w:val="000000" w:themeColor="text1"/>
          <w:lang w:val="en-US"/>
        </w:rPr>
        <w:t xml:space="preserve">CPZ-fed mice </w:t>
      </w:r>
      <w:r w:rsidR="00B0286C" w:rsidRPr="00245623">
        <w:rPr>
          <w:color w:val="000000" w:themeColor="text1"/>
          <w:lang w:val="en-US"/>
        </w:rPr>
        <w:t xml:space="preserve">at 11.7 T </w:t>
      </w:r>
      <w:r w:rsidRPr="00245623">
        <w:rPr>
          <w:color w:val="000000" w:themeColor="text1"/>
          <w:lang w:val="en-US"/>
        </w:rPr>
        <w:t xml:space="preserve">and correlated apparent diffusion coefficients (ADCs) and concentrations of </w:t>
      </w:r>
      <w:proofErr w:type="spellStart"/>
      <w:r w:rsidRPr="00245623">
        <w:rPr>
          <w:color w:val="000000" w:themeColor="text1"/>
          <w:lang w:val="en-US"/>
        </w:rPr>
        <w:t>tCho</w:t>
      </w:r>
      <w:proofErr w:type="spellEnd"/>
      <w:r w:rsidRPr="00245623">
        <w:rPr>
          <w:color w:val="000000" w:themeColor="text1"/>
          <w:lang w:val="en-US"/>
        </w:rPr>
        <w:t xml:space="preserve"> and </w:t>
      </w:r>
      <w:proofErr w:type="spellStart"/>
      <w:r w:rsidRPr="00245623">
        <w:rPr>
          <w:color w:val="000000" w:themeColor="text1"/>
          <w:lang w:val="en-US"/>
        </w:rPr>
        <w:t>mIns</w:t>
      </w:r>
      <w:proofErr w:type="spellEnd"/>
      <w:r w:rsidRPr="00245623">
        <w:rPr>
          <w:color w:val="000000" w:themeColor="text1"/>
          <w:lang w:val="en-US"/>
        </w:rPr>
        <w:t xml:space="preserve"> with histological markers of microglia and astrocytes derived </w:t>
      </w:r>
      <w:r w:rsidR="00DF0549" w:rsidRPr="00245623">
        <w:rPr>
          <w:color w:val="000000" w:themeColor="text1"/>
          <w:lang w:val="en-US"/>
        </w:rPr>
        <w:t xml:space="preserve">from </w:t>
      </w:r>
      <w:r w:rsidRPr="00245623">
        <w:rPr>
          <w:color w:val="000000" w:themeColor="text1"/>
          <w:lang w:val="en-US"/>
        </w:rPr>
        <w:t xml:space="preserve">immunohistochemistry (IHC). </w:t>
      </w:r>
      <w:r w:rsidR="00240B0C" w:rsidRPr="00245623">
        <w:rPr>
          <w:lang w:val="en-US"/>
        </w:rPr>
        <w:t>The CPZ mouse model is a very well-characterized model of demyelinati</w:t>
      </w:r>
      <w:r w:rsidR="00410EDA" w:rsidRPr="00245623">
        <w:rPr>
          <w:lang w:val="en-US"/>
        </w:rPr>
        <w:t>on</w:t>
      </w:r>
      <w:r w:rsidR="0085423C" w:rsidRPr="00245623">
        <w:rPr>
          <w:lang w:val="en-US"/>
        </w:rPr>
        <w:t>, which is associated with severe inflammation</w:t>
      </w:r>
      <w:r w:rsidR="006F5E00"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{"citationID":"sb04P209","properties":{"formattedCitation":"\\super 21,22\\nosupersub{}","plainCitation":"21,22","noteIndex":0},"citationItems":[{"id":620,"uris":["http://zotero.org/users/local/JiswOD7j/items/8UY6EPQV"],"uri":["http://zotero.org/users/local/JiswOD7j/items/8UY6EPQV"],"itemData":{"id":620,"type":"article-journal","container-title":"Acta Neuropathologica","DOI":"10.1007/s00401-009-0591-3","ISSN":"0001-6322, 1432-0533","issue":"6","journalAbbreviation":"Acta Neuropathol","language":"en","page":"723-736","source":"DOI.org (Crossref)","title":"The cuprizone animal model: new insights into an old story","title-short":"The cuprizone animal model","volume":"118","author":[{"family":"Kipp","given":"Markus"},{"family":"Clarner","given":"Tim"},{"family":"Dang","given":"Jon"},{"family":"Copray","given":"Sjef"},{"family":"Beyer","given":"Cordian"}],"issued":{"date-parts":[["2009",12]]}},"label":"page"},{"id":621,"uris":["http://zotero.org/users/local/JiswOD7j/items/UP4QQBFY"],"uri":["http://zotero.org/users/local/JiswOD7j/items/UP4QQBFY"],"itemData":{"id":621,"type":"article-journal","abstract":"The copper chelator cuprizone (biscyclohexanone oxaldihydrazone) was established as a neurotoxin in rodents in 1966 by Carlton. During the following years the usefulness of cuprizone feeding in mice to induce oligodendrocyte death with secondary demyelination of the superior cerebellar peduncles was described by Blakemore. In 1998 the cuprizone model experienced a renaissance as the group of Matsushima described the effects of cuprizone on the white matter of the cerebrum and focussed on demyelination in the corpus callosum, where the extent of demyelination could be scored more easily and consistently. Since then the toxic cuprizone model has been widely used to study experimental de- and remyelination in the corpus callosum.","language":"en","page":"13","source":"Zotero","title":"De- and remyelination in the CNS white and grey matter induced by cuprizone: The old, the new, and the unexpected","author":[{"family":"Skripuletz","given":"Thomas"},{"family":"Gudi","given":"Viktoria"},{"family":"Hackstette","given":"Diane"},{"family":"Stangel","given":"Martin"}],"issued":{"date-parts":[["2011"]]}},"label":"page"}],"schema":"https://github.com/citation-style-language/schema/raw/master/csl-citation.json"} </w:instrText>
      </w:r>
      <w:r w:rsidR="00BA76C6" w:rsidRPr="00245623">
        <w:rPr>
          <w:lang w:val="en-US"/>
        </w:rPr>
        <w:fldChar w:fldCharType="separate"/>
      </w:r>
      <w:r w:rsidR="00AC7306" w:rsidRPr="00245623">
        <w:rPr>
          <w:vertAlign w:val="superscript"/>
          <w:lang w:val="en-US"/>
        </w:rPr>
        <w:t>21,22</w:t>
      </w:r>
      <w:r w:rsidR="00BA76C6" w:rsidRPr="00245623">
        <w:rPr>
          <w:lang w:val="en-US"/>
        </w:rPr>
        <w:fldChar w:fldCharType="end"/>
      </w:r>
      <w:r w:rsidR="0085423C" w:rsidRPr="00245623">
        <w:rPr>
          <w:lang w:val="en-US"/>
        </w:rPr>
        <w:t>.</w:t>
      </w:r>
      <w:r w:rsidR="00F36140" w:rsidRPr="00245623">
        <w:rPr>
          <w:lang w:val="en-US"/>
        </w:rPr>
        <w:t xml:space="preserve"> </w:t>
      </w:r>
      <w:r w:rsidR="0085423C" w:rsidRPr="00245623">
        <w:rPr>
          <w:color w:val="000000" w:themeColor="text1"/>
          <w:lang w:val="en-US"/>
        </w:rPr>
        <w:t xml:space="preserve">Our working hypotheses </w:t>
      </w:r>
      <w:r w:rsidR="00F36140" w:rsidRPr="00245623">
        <w:rPr>
          <w:color w:val="000000" w:themeColor="text1"/>
          <w:lang w:val="en-US"/>
        </w:rPr>
        <w:t xml:space="preserve">are illustrated in </w:t>
      </w:r>
      <w:r w:rsidR="005311D7" w:rsidRPr="00245623">
        <w:rPr>
          <w:color w:val="000000" w:themeColor="text1"/>
          <w:lang w:val="en-US"/>
        </w:rPr>
        <w:t xml:space="preserve">Figure </w:t>
      </w:r>
      <w:r w:rsidR="007A61D5" w:rsidRPr="00245623">
        <w:rPr>
          <w:color w:val="000000" w:themeColor="text1"/>
          <w:lang w:val="en-US"/>
        </w:rPr>
        <w:t>1</w:t>
      </w:r>
      <w:r w:rsidR="00F36140" w:rsidRPr="00245623">
        <w:rPr>
          <w:color w:val="000000" w:themeColor="text1"/>
          <w:lang w:val="en-US"/>
        </w:rPr>
        <w:t>.</w:t>
      </w:r>
      <w:r w:rsidR="005311D7" w:rsidRPr="00245623">
        <w:rPr>
          <w:color w:val="000000" w:themeColor="text1"/>
          <w:lang w:val="en-US"/>
        </w:rPr>
        <w:t xml:space="preserve"> </w:t>
      </w:r>
      <w:r w:rsidR="00F36140" w:rsidRPr="00245623">
        <w:rPr>
          <w:color w:val="000000" w:themeColor="text1"/>
          <w:lang w:val="en-US"/>
        </w:rPr>
        <w:t>We expected that</w:t>
      </w:r>
      <w:r w:rsidR="0085423C" w:rsidRPr="00245623">
        <w:rPr>
          <w:color w:val="000000" w:themeColor="text1"/>
          <w:lang w:val="en-US"/>
        </w:rPr>
        <w:t xml:space="preserve"> activated astrocytes and microglia would be reflected in significant</w:t>
      </w:r>
      <w:r w:rsidR="004F3638" w:rsidRPr="00245623">
        <w:rPr>
          <w:color w:val="000000" w:themeColor="text1"/>
          <w:lang w:val="en-US"/>
        </w:rPr>
        <w:t>ly</w:t>
      </w:r>
      <w:r w:rsidR="0085423C" w:rsidRPr="00245623">
        <w:rPr>
          <w:color w:val="000000" w:themeColor="text1"/>
          <w:lang w:val="en-US"/>
        </w:rPr>
        <w:t xml:space="preserve"> higher </w:t>
      </w:r>
      <w:proofErr w:type="spellStart"/>
      <w:r w:rsidR="0085423C" w:rsidRPr="00245623">
        <w:rPr>
          <w:color w:val="000000" w:themeColor="text1"/>
          <w:lang w:val="en-US"/>
        </w:rPr>
        <w:t>mIns</w:t>
      </w:r>
      <w:proofErr w:type="spellEnd"/>
      <w:r w:rsidR="0085423C" w:rsidRPr="00245623">
        <w:rPr>
          <w:color w:val="000000" w:themeColor="text1"/>
          <w:lang w:val="en-US"/>
        </w:rPr>
        <w:t xml:space="preserve"> and </w:t>
      </w:r>
      <w:proofErr w:type="spellStart"/>
      <w:r w:rsidR="0085423C" w:rsidRPr="00245623">
        <w:rPr>
          <w:color w:val="000000" w:themeColor="text1"/>
          <w:lang w:val="en-US"/>
        </w:rPr>
        <w:t>tCho</w:t>
      </w:r>
      <w:proofErr w:type="spellEnd"/>
      <w:r w:rsidR="0085423C" w:rsidRPr="00245623">
        <w:rPr>
          <w:color w:val="000000" w:themeColor="text1"/>
          <w:lang w:val="en-US"/>
        </w:rPr>
        <w:t xml:space="preserve"> diffusion </w:t>
      </w:r>
      <w:r w:rsidR="00504D9E" w:rsidRPr="00245623">
        <w:rPr>
          <w:color w:val="000000" w:themeColor="text1"/>
          <w:lang w:val="en-US"/>
        </w:rPr>
        <w:t>in CPZ</w:t>
      </w:r>
      <w:r w:rsidR="00854D99" w:rsidRPr="00245623">
        <w:rPr>
          <w:color w:val="000000" w:themeColor="text1"/>
          <w:lang w:val="en-US"/>
        </w:rPr>
        <w:t xml:space="preserve"> </w:t>
      </w:r>
      <w:r w:rsidR="009253C0" w:rsidRPr="00245623">
        <w:rPr>
          <w:color w:val="000000" w:themeColor="text1"/>
          <w:lang w:val="en-US"/>
        </w:rPr>
        <w:t xml:space="preserve">mice </w:t>
      </w:r>
      <w:r w:rsidR="00854D99" w:rsidRPr="00245623">
        <w:rPr>
          <w:color w:val="000000" w:themeColor="text1"/>
          <w:lang w:val="en-US"/>
        </w:rPr>
        <w:t>after 6 weeks of intoxication</w:t>
      </w:r>
      <w:r w:rsidR="00504D9E" w:rsidRPr="00245623">
        <w:rPr>
          <w:color w:val="000000" w:themeColor="text1"/>
          <w:lang w:val="en-US"/>
        </w:rPr>
        <w:t xml:space="preserve"> </w:t>
      </w:r>
      <w:r w:rsidR="0085423C" w:rsidRPr="00245623">
        <w:rPr>
          <w:color w:val="000000" w:themeColor="text1"/>
          <w:lang w:val="en-US"/>
        </w:rPr>
        <w:t xml:space="preserve">compared to </w:t>
      </w:r>
      <w:r w:rsidR="0041076E" w:rsidRPr="00245623">
        <w:rPr>
          <w:color w:val="000000" w:themeColor="text1"/>
          <w:lang w:val="en-US"/>
        </w:rPr>
        <w:t>control</w:t>
      </w:r>
      <w:r w:rsidR="0085423C" w:rsidRPr="00245623">
        <w:rPr>
          <w:color w:val="000000" w:themeColor="text1"/>
          <w:lang w:val="en-US"/>
        </w:rPr>
        <w:t xml:space="preserve"> mice, </w:t>
      </w:r>
      <w:r w:rsidR="009253C0" w:rsidRPr="00245623">
        <w:rPr>
          <w:color w:val="000000" w:themeColor="text1"/>
          <w:lang w:val="en-US"/>
        </w:rPr>
        <w:t xml:space="preserve">and that these changes would be </w:t>
      </w:r>
      <w:r w:rsidR="00854D99" w:rsidRPr="00245623">
        <w:rPr>
          <w:color w:val="000000" w:themeColor="text1"/>
          <w:lang w:val="en-US"/>
        </w:rPr>
        <w:t>accompanied</w:t>
      </w:r>
      <w:r w:rsidR="0085423C" w:rsidRPr="00245623">
        <w:rPr>
          <w:color w:val="000000" w:themeColor="text1"/>
          <w:lang w:val="en-US"/>
        </w:rPr>
        <w:t xml:space="preserve"> </w:t>
      </w:r>
      <w:r w:rsidR="00854D99" w:rsidRPr="00245623">
        <w:rPr>
          <w:color w:val="000000" w:themeColor="text1"/>
          <w:lang w:val="en-US"/>
        </w:rPr>
        <w:t>by</w:t>
      </w:r>
      <w:r w:rsidR="0085423C" w:rsidRPr="00245623">
        <w:rPr>
          <w:color w:val="000000" w:themeColor="text1"/>
          <w:lang w:val="en-US"/>
        </w:rPr>
        <w:t xml:space="preserve"> </w:t>
      </w:r>
      <w:r w:rsidR="004F3638" w:rsidRPr="00245623">
        <w:rPr>
          <w:color w:val="000000" w:themeColor="text1"/>
          <w:lang w:val="en-US"/>
        </w:rPr>
        <w:t xml:space="preserve">significant </w:t>
      </w:r>
      <w:r w:rsidR="00E311D7" w:rsidRPr="00245623">
        <w:rPr>
          <w:color w:val="000000" w:themeColor="text1"/>
          <w:lang w:val="en-US"/>
        </w:rPr>
        <w:t>alter</w:t>
      </w:r>
      <w:r w:rsidR="009253C0" w:rsidRPr="00245623">
        <w:rPr>
          <w:color w:val="000000" w:themeColor="text1"/>
          <w:lang w:val="en-US"/>
        </w:rPr>
        <w:t xml:space="preserve">ations </w:t>
      </w:r>
      <w:r w:rsidR="00CF54DB" w:rsidRPr="00245623">
        <w:rPr>
          <w:color w:val="000000" w:themeColor="text1"/>
          <w:lang w:val="en-US"/>
        </w:rPr>
        <w:t>in</w:t>
      </w:r>
      <w:r w:rsidR="00E311D7" w:rsidRPr="00245623">
        <w:rPr>
          <w:color w:val="000000" w:themeColor="text1"/>
          <w:lang w:val="en-US"/>
        </w:rPr>
        <w:t xml:space="preserve"> glial cell</w:t>
      </w:r>
      <w:r w:rsidR="009253C0" w:rsidRPr="00245623">
        <w:rPr>
          <w:color w:val="000000" w:themeColor="text1"/>
          <w:lang w:val="en-US"/>
        </w:rPr>
        <w:t xml:space="preserve"> markers measured with IHC</w:t>
      </w:r>
      <w:r w:rsidR="00E311D7" w:rsidRPr="00245623">
        <w:rPr>
          <w:color w:val="000000" w:themeColor="text1"/>
          <w:lang w:val="en-US"/>
        </w:rPr>
        <w:t>.</w:t>
      </w:r>
      <w:r w:rsidR="005311D7" w:rsidRPr="00245623">
        <w:rPr>
          <w:color w:val="000000" w:themeColor="text1"/>
          <w:lang w:val="en-US"/>
        </w:rPr>
        <w:t xml:space="preserve"> </w:t>
      </w:r>
      <w:r w:rsidR="00F83F30" w:rsidRPr="00245623">
        <w:rPr>
          <w:color w:val="000000" w:themeColor="text1"/>
          <w:lang w:val="en-US"/>
        </w:rPr>
        <w:t xml:space="preserve">In addition, based on </w:t>
      </w:r>
      <w:r w:rsidR="00A019F2" w:rsidRPr="00245623">
        <w:rPr>
          <w:color w:val="000000" w:themeColor="text1"/>
          <w:lang w:val="en-US"/>
        </w:rPr>
        <w:t xml:space="preserve">a </w:t>
      </w:r>
      <w:r w:rsidR="00F83F30" w:rsidRPr="00245623">
        <w:rPr>
          <w:color w:val="000000" w:themeColor="text1"/>
          <w:lang w:val="en-US"/>
        </w:rPr>
        <w:t xml:space="preserve">previous </w:t>
      </w:r>
      <w:r w:rsidR="00A019F2" w:rsidRPr="00245623">
        <w:rPr>
          <w:color w:val="000000" w:themeColor="text1"/>
          <w:lang w:val="en-US"/>
        </w:rPr>
        <w:t xml:space="preserve">preclinical </w:t>
      </w:r>
      <w:r w:rsidR="00F83F30" w:rsidRPr="00245623">
        <w:rPr>
          <w:color w:val="000000" w:themeColor="text1"/>
          <w:lang w:val="en-US"/>
        </w:rPr>
        <w:t>DW-MRS finding</w:t>
      </w:r>
      <w:r w:rsidR="00A019F2" w:rsidRPr="00245623">
        <w:rPr>
          <w:color w:val="000000" w:themeColor="text1"/>
          <w:lang w:val="en-US"/>
        </w:rPr>
        <w:t xml:space="preserve"> pointing </w:t>
      </w:r>
      <w:r w:rsidR="00A019F2" w:rsidRPr="00245623">
        <w:rPr>
          <w:color w:val="000000" w:themeColor="text1"/>
          <w:lang w:val="en-US"/>
        </w:rPr>
        <w:lastRenderedPageBreak/>
        <w:t xml:space="preserve">to </w:t>
      </w:r>
      <w:proofErr w:type="spellStart"/>
      <w:r w:rsidR="00A019F2" w:rsidRPr="00245623">
        <w:rPr>
          <w:color w:val="000000" w:themeColor="text1"/>
          <w:lang w:val="en-US"/>
        </w:rPr>
        <w:t>mIns</w:t>
      </w:r>
      <w:proofErr w:type="spellEnd"/>
      <w:r w:rsidR="00A019F2" w:rsidRPr="00245623">
        <w:rPr>
          <w:color w:val="000000" w:themeColor="text1"/>
          <w:lang w:val="en-US"/>
        </w:rPr>
        <w:t xml:space="preserve"> as specific marker of astrocyte reactivity</w:t>
      </w:r>
      <w:r w:rsidR="00F83F30" w:rsidRPr="00245623">
        <w:rPr>
          <w:color w:val="000000" w:themeColor="text1"/>
          <w:lang w:val="en-US"/>
        </w:rPr>
        <w:t xml:space="preserve"> </w:t>
      </w:r>
      <w:r w:rsidR="002C1C95" w:rsidRPr="00245623">
        <w:rPr>
          <w:color w:val="000000" w:themeColor="text1"/>
          <w:lang w:val="en-US"/>
        </w:rPr>
        <w:fldChar w:fldCharType="begin"/>
      </w:r>
      <w:r w:rsidR="00AC7306" w:rsidRPr="00245623">
        <w:rPr>
          <w:color w:val="000000" w:themeColor="text1"/>
          <w:lang w:val="en-US"/>
        </w:rPr>
        <w:instrText xml:space="preserve"> ADDIN ZOTERO_ITEM CSL_CITATION {"citationID":"aDA9IFQU","properties":{"formattedCitation":"\\super 19\\nosupersub{}","plainCitation":"19","noteIndex":0},"citationItems":[{"id":399,"uris":["http://zotero.org/users/local/JiswOD7j/items/4Q7K2TN7"],"uri":["http://zotero.org/users/local/JiswOD7j/items/4Q7K2TN7"],"itemData":{"id":399,"type":"article-journal","abstract":"Reactive astrocytes exhibit hypertrophic morphology and altered metabolism. Deciphering astrocytic status would be of great importance to understand their role and dysregulation in pathologies, but most analytical methods remain highly invasive or destructive. The diffusion of brain metabolites, as non-invasively measured using diffusion-weighted magnetic resonance spectroscopy (DW-MRS) in vivo, depends on the structure of their micro-environment. Here we perform advanced DW-MRS in a mouse model of reactive astrocytes to determine how cellular compartments conﬁning metabolite diffusion are changing. This reveals myo-inositol as a speciﬁc intraastrocytic marker whose diffusion closely reﬂects astrocytic morphology, enabling non-invasive detection of astrocyte hypertrophy (subsequently conﬁrmed by confocal microscopy ex vivo). Furthermore, we measure massive variations of lactate diffusion properties, suggesting that intracellular lactate is predominantly astrocytic under control conditions, but predominantly neuronal in case of astrocyte reactivity. This indicates massive remodeling of lactate metabolism, as lactate compartmentation is tightly linked to the astrocyte-to-neuron lactate shuttle mechanism.","container-title":"NeuroImage","DOI":"10.1016/j.neuroimage.2019.02.046","ISSN":"10538119","language":"en","page":"457-469","source":"Crossref","title":"Diffusion-weighted magnetic resonance spectroscopy enables cell-specific monitoring of astrocyte reactivity in vivo","volume":"191","author":[{"family":"Ligneul","given":"Clémence"},{"family":"Palombo","given":"Marco"},{"family":"Hernández-Garzón","given":"Edwin"},{"family":"Carrillo-de Sauvage","given":"María-Angeles"},{"family":"Flament","given":"Julien"},{"family":"Hantraye","given":"Philippe"},{"family":"Brouillet","given":"Emmanuel"},{"family":"Bonvento","given":"Gilles"},{"family":"Escartin","given":"Carole"},{"family":"Valette","given":"Julien"}],"issued":{"date-parts":[["2019",5]]}}}],"schema":"https://github.com/citation-style-language/schema/raw/master/csl-citation.json"} </w:instrText>
      </w:r>
      <w:r w:rsidR="002C1C95" w:rsidRPr="00245623">
        <w:rPr>
          <w:color w:val="000000" w:themeColor="text1"/>
          <w:lang w:val="en-US"/>
        </w:rPr>
        <w:fldChar w:fldCharType="separate"/>
      </w:r>
      <w:r w:rsidR="00AC7306" w:rsidRPr="00245623">
        <w:rPr>
          <w:color w:val="000000"/>
          <w:vertAlign w:val="superscript"/>
          <w:lang w:val="en-US"/>
        </w:rPr>
        <w:t>19</w:t>
      </w:r>
      <w:r w:rsidR="002C1C95" w:rsidRPr="00245623">
        <w:rPr>
          <w:color w:val="000000" w:themeColor="text1"/>
          <w:lang w:val="en-US"/>
        </w:rPr>
        <w:fldChar w:fldCharType="end"/>
      </w:r>
      <w:r w:rsidR="00F83F30" w:rsidRPr="00245623">
        <w:rPr>
          <w:color w:val="000000" w:themeColor="text1"/>
          <w:lang w:val="en-US"/>
        </w:rPr>
        <w:t xml:space="preserve">, we hypothesized that </w:t>
      </w:r>
      <w:r w:rsidR="002C1C95" w:rsidRPr="00245623">
        <w:rPr>
          <w:color w:val="000000" w:themeColor="text1"/>
          <w:lang w:val="en-US"/>
        </w:rPr>
        <w:t xml:space="preserve">only </w:t>
      </w:r>
      <w:proofErr w:type="spellStart"/>
      <w:r w:rsidR="002C1C95" w:rsidRPr="00245623">
        <w:rPr>
          <w:color w:val="000000" w:themeColor="text1"/>
          <w:lang w:val="en-US"/>
        </w:rPr>
        <w:t>mIns</w:t>
      </w:r>
      <w:proofErr w:type="spellEnd"/>
      <w:r w:rsidR="002C1C95" w:rsidRPr="00245623">
        <w:rPr>
          <w:color w:val="000000" w:themeColor="text1"/>
          <w:lang w:val="en-US"/>
        </w:rPr>
        <w:t xml:space="preserve"> would be</w:t>
      </w:r>
      <w:r w:rsidR="00F83F30" w:rsidRPr="00245623">
        <w:rPr>
          <w:color w:val="000000" w:themeColor="text1"/>
          <w:lang w:val="en-US"/>
        </w:rPr>
        <w:t xml:space="preserve"> massively present in astrocytes. </w:t>
      </w:r>
      <w:r w:rsidR="009253C0" w:rsidRPr="00245623">
        <w:rPr>
          <w:color w:val="000000" w:themeColor="text1"/>
          <w:lang w:val="en-US"/>
        </w:rPr>
        <w:t xml:space="preserve">We also hypothesized that the diffusivity of </w:t>
      </w:r>
      <w:proofErr w:type="spellStart"/>
      <w:r w:rsidR="009253C0" w:rsidRPr="00245623">
        <w:rPr>
          <w:color w:val="000000" w:themeColor="text1"/>
          <w:lang w:val="en-US"/>
        </w:rPr>
        <w:t>tNAA</w:t>
      </w:r>
      <w:proofErr w:type="spellEnd"/>
      <w:r w:rsidR="009253C0" w:rsidRPr="00245623">
        <w:rPr>
          <w:color w:val="000000" w:themeColor="text1"/>
          <w:lang w:val="en-US"/>
        </w:rPr>
        <w:t xml:space="preserve"> would be unchanged due to intact </w:t>
      </w:r>
      <w:r w:rsidR="00385C9F" w:rsidRPr="00245623">
        <w:rPr>
          <w:color w:val="000000" w:themeColor="text1"/>
          <w:lang w:val="en-US"/>
        </w:rPr>
        <w:t>intra-axonal compartments</w:t>
      </w:r>
      <w:r w:rsidR="005311D7" w:rsidRPr="00245623">
        <w:rPr>
          <w:color w:val="000000" w:themeColor="text1"/>
          <w:lang w:val="en-US"/>
        </w:rPr>
        <w:t xml:space="preserve">. In contrast, both total creatine </w:t>
      </w:r>
      <w:r w:rsidR="0059336B" w:rsidRPr="00245623">
        <w:rPr>
          <w:color w:val="000000" w:themeColor="text1"/>
          <w:lang w:val="en-US"/>
        </w:rPr>
        <w:t xml:space="preserve">– </w:t>
      </w:r>
      <w:r w:rsidR="00504D9E" w:rsidRPr="00245623">
        <w:rPr>
          <w:color w:val="000000" w:themeColor="text1"/>
          <w:lang w:val="en-US"/>
        </w:rPr>
        <w:t>creatine</w:t>
      </w:r>
      <w:r w:rsidR="0059336B" w:rsidRPr="00245623">
        <w:rPr>
          <w:color w:val="000000" w:themeColor="text1"/>
          <w:lang w:val="en-US"/>
        </w:rPr>
        <w:t xml:space="preserve"> (Cr)</w:t>
      </w:r>
      <w:r w:rsidR="00504D9E" w:rsidRPr="00245623">
        <w:rPr>
          <w:color w:val="000000" w:themeColor="text1"/>
          <w:lang w:val="en-US"/>
        </w:rPr>
        <w:t xml:space="preserve"> + phosphocreatine</w:t>
      </w:r>
      <w:r w:rsidR="0059336B" w:rsidRPr="00245623">
        <w:rPr>
          <w:color w:val="000000" w:themeColor="text1"/>
          <w:lang w:val="en-US"/>
        </w:rPr>
        <w:t xml:space="preserve"> (</w:t>
      </w:r>
      <w:proofErr w:type="spellStart"/>
      <w:r w:rsidR="0059336B" w:rsidRPr="00245623">
        <w:rPr>
          <w:color w:val="000000" w:themeColor="text1"/>
          <w:lang w:val="en-US"/>
        </w:rPr>
        <w:t>PCr</w:t>
      </w:r>
      <w:proofErr w:type="spellEnd"/>
      <w:r w:rsidR="0059336B" w:rsidRPr="00245623">
        <w:rPr>
          <w:color w:val="000000" w:themeColor="text1"/>
          <w:lang w:val="en-US"/>
        </w:rPr>
        <w:t>) –</w:t>
      </w:r>
      <w:r w:rsidR="00504D9E" w:rsidRPr="00245623">
        <w:rPr>
          <w:color w:val="000000" w:themeColor="text1"/>
          <w:lang w:val="en-US"/>
        </w:rPr>
        <w:t xml:space="preserve"> </w:t>
      </w:r>
      <w:r w:rsidR="0059336B" w:rsidRPr="00245623">
        <w:rPr>
          <w:color w:val="000000" w:themeColor="text1"/>
          <w:lang w:val="en-US"/>
        </w:rPr>
        <w:t>(</w:t>
      </w:r>
      <w:proofErr w:type="spellStart"/>
      <w:r w:rsidR="005311D7" w:rsidRPr="00245623">
        <w:rPr>
          <w:color w:val="000000" w:themeColor="text1"/>
          <w:lang w:val="en-US"/>
        </w:rPr>
        <w:t>tCr</w:t>
      </w:r>
      <w:proofErr w:type="spellEnd"/>
      <w:r w:rsidR="005311D7" w:rsidRPr="00245623">
        <w:rPr>
          <w:color w:val="000000" w:themeColor="text1"/>
          <w:lang w:val="en-US"/>
        </w:rPr>
        <w:t xml:space="preserve">) diffusion and metabolite concentrations were not expected to be specific markers of any pathological process in the CPZ mouse model, due to the </w:t>
      </w:r>
      <w:r w:rsidR="00504D9E" w:rsidRPr="00245623">
        <w:rPr>
          <w:color w:val="000000" w:themeColor="text1"/>
          <w:lang w:val="en-US"/>
        </w:rPr>
        <w:t>concurrent presence of other alterations related to demyelination, such as oligodendrocyte death and mitochondrial dysfunction</w:t>
      </w:r>
      <w:r w:rsidR="00C51BD3" w:rsidRPr="00245623">
        <w:rPr>
          <w:color w:val="000000" w:themeColor="text1"/>
          <w:lang w:val="en-US"/>
        </w:rPr>
        <w:t xml:space="preserve">, which may </w:t>
      </w:r>
      <w:r w:rsidR="00893962" w:rsidRPr="00245623">
        <w:rPr>
          <w:color w:val="000000" w:themeColor="text1"/>
          <w:lang w:val="en-US"/>
        </w:rPr>
        <w:t>complicate the interpretation of possible changes of</w:t>
      </w:r>
      <w:r w:rsidR="00C51BD3" w:rsidRPr="00245623">
        <w:rPr>
          <w:color w:val="000000" w:themeColor="text1"/>
          <w:lang w:val="en-US"/>
        </w:rPr>
        <w:t xml:space="preserve"> these markers</w:t>
      </w:r>
      <w:r w:rsidR="00504D9E" w:rsidRPr="00245623">
        <w:rPr>
          <w:color w:val="000000" w:themeColor="text1"/>
          <w:lang w:val="en-US"/>
        </w:rPr>
        <w:t xml:space="preserve">. </w:t>
      </w:r>
      <w:r w:rsidR="005311D7" w:rsidRPr="00245623">
        <w:rPr>
          <w:color w:val="000000" w:themeColor="text1"/>
          <w:lang w:val="en-US"/>
        </w:rPr>
        <w:t xml:space="preserve"> </w:t>
      </w:r>
      <w:r w:rsidRPr="00245623">
        <w:rPr>
          <w:color w:val="000000" w:themeColor="text1"/>
          <w:lang w:val="en-US"/>
        </w:rPr>
        <w:t>Our results confirmed DW-MRS as a promising method to detect inflammatory-driven glial changes in pathology.</w:t>
      </w:r>
    </w:p>
    <w:p w14:paraId="3A0C2257" w14:textId="77777777" w:rsidR="00845F4A" w:rsidRPr="00245623" w:rsidRDefault="00845F4A" w:rsidP="003A5EE1">
      <w:pPr>
        <w:spacing w:line="480" w:lineRule="auto"/>
        <w:jc w:val="both"/>
        <w:rPr>
          <w:lang w:val="en-US"/>
        </w:rPr>
      </w:pPr>
    </w:p>
    <w:p w14:paraId="33C3BEA3" w14:textId="4B4F9B29" w:rsidR="00BE7097" w:rsidRPr="00245623" w:rsidRDefault="00EE520D" w:rsidP="006B5E60">
      <w:pPr>
        <w:pStyle w:val="Titre2"/>
        <w:numPr>
          <w:ilvl w:val="0"/>
          <w:numId w:val="3"/>
        </w:numPr>
        <w:spacing w:line="480" w:lineRule="auto"/>
        <w:rPr>
          <w:rFonts w:ascii="Times New Roman" w:hAnsi="Times New Roman" w:cs="Times New Roman"/>
        </w:rPr>
      </w:pPr>
      <w:bookmarkStart w:id="0" w:name="_Toc23067508"/>
      <w:r w:rsidRPr="00245623">
        <w:rPr>
          <w:rFonts w:ascii="Times New Roman" w:hAnsi="Times New Roman" w:cs="Times New Roman"/>
        </w:rPr>
        <w:t>Material and methods</w:t>
      </w:r>
      <w:bookmarkEnd w:id="0"/>
      <w:r w:rsidRPr="00245623">
        <w:rPr>
          <w:rFonts w:ascii="Times New Roman" w:hAnsi="Times New Roman" w:cs="Times New Roman"/>
        </w:rPr>
        <w:t xml:space="preserve"> </w:t>
      </w:r>
    </w:p>
    <w:p w14:paraId="777530F4" w14:textId="0CC9920A" w:rsidR="00BE7097" w:rsidRPr="00245623" w:rsidRDefault="006B5E60">
      <w:pPr>
        <w:pStyle w:val="Titre3"/>
        <w:spacing w:line="480" w:lineRule="auto"/>
        <w:rPr>
          <w:rFonts w:ascii="Times New Roman" w:hAnsi="Times New Roman" w:cs="Times New Roman"/>
        </w:rPr>
      </w:pPr>
      <w:bookmarkStart w:id="1" w:name="_Toc23067509"/>
      <w:r w:rsidRPr="00245623">
        <w:rPr>
          <w:rFonts w:ascii="Times New Roman" w:hAnsi="Times New Roman" w:cs="Times New Roman"/>
        </w:rPr>
        <w:t xml:space="preserve">2.1 </w:t>
      </w:r>
      <w:r w:rsidR="00EE520D" w:rsidRPr="00245623">
        <w:rPr>
          <w:rFonts w:ascii="Times New Roman" w:hAnsi="Times New Roman" w:cs="Times New Roman"/>
        </w:rPr>
        <w:t>A</w:t>
      </w:r>
      <w:bookmarkEnd w:id="1"/>
      <w:r w:rsidR="00EE520D" w:rsidRPr="00245623">
        <w:rPr>
          <w:rFonts w:ascii="Times New Roman" w:hAnsi="Times New Roman" w:cs="Times New Roman"/>
        </w:rPr>
        <w:t xml:space="preserve">nimal experiments </w:t>
      </w:r>
    </w:p>
    <w:p w14:paraId="65E3F441" w14:textId="77777777" w:rsidR="00BE7097" w:rsidRPr="00245623" w:rsidRDefault="00EE520D" w:rsidP="00B0286C">
      <w:pPr>
        <w:widowControl w:val="0"/>
        <w:spacing w:line="480" w:lineRule="auto"/>
        <w:jc w:val="both"/>
        <w:rPr>
          <w:lang w:val="en-US"/>
        </w:rPr>
      </w:pPr>
      <w:r w:rsidRPr="00245623">
        <w:rPr>
          <w:rFonts w:eastAsia="Arial Unicode MS"/>
          <w:color w:val="000000"/>
          <w:lang w:val="en-US"/>
        </w:rPr>
        <w:t>All animal experiments were performed in accordance with the EU Directive 2010/63/EU for animal experiments and approved by the Charles Darwin's Ethical Committee for Animal Experimentation (#</w:t>
      </w:r>
      <w:r w:rsidRPr="00245623">
        <w:rPr>
          <w:color w:val="1A1A1B"/>
          <w:lang w:val="en-US"/>
        </w:rPr>
        <w:t>6119-2016071314309890</w:t>
      </w:r>
      <w:r w:rsidRPr="00245623">
        <w:rPr>
          <w:rFonts w:eastAsia="Arial Unicode MS"/>
          <w:color w:val="000000"/>
          <w:lang w:val="en-US"/>
        </w:rPr>
        <w:t xml:space="preserve">). </w:t>
      </w:r>
      <w:r w:rsidRPr="00245623">
        <w:rPr>
          <w:i/>
          <w:iCs/>
          <w:sz w:val="26"/>
          <w:szCs w:val="26"/>
          <w:lang w:val="en-US"/>
        </w:rPr>
        <w:t xml:space="preserve"> </w:t>
      </w:r>
    </w:p>
    <w:p w14:paraId="751E45F0" w14:textId="00D36483" w:rsidR="0069250E" w:rsidRPr="00245623" w:rsidRDefault="00647294" w:rsidP="0069250E">
      <w:pPr>
        <w:widowControl w:val="0"/>
        <w:spacing w:line="480" w:lineRule="auto"/>
        <w:jc w:val="both"/>
        <w:rPr>
          <w:lang w:val="en-US"/>
        </w:rPr>
      </w:pPr>
      <w:r w:rsidRPr="00245623">
        <w:rPr>
          <w:lang w:val="en-US"/>
        </w:rPr>
        <w:t>Eight</w:t>
      </w:r>
      <w:r w:rsidR="007A3B44" w:rsidRPr="00245623">
        <w:rPr>
          <w:lang w:val="en-US"/>
        </w:rPr>
        <w:t>een</w:t>
      </w:r>
      <w:r w:rsidR="00EE520D" w:rsidRPr="00245623">
        <w:rPr>
          <w:color w:val="00000A"/>
          <w:lang w:val="en-US"/>
        </w:rPr>
        <w:t xml:space="preserve"> 8-week old C57Bl/6J female mice were included in the study. </w:t>
      </w:r>
      <w:r w:rsidR="006A6814" w:rsidRPr="00245623">
        <w:rPr>
          <w:color w:val="00000A"/>
          <w:lang w:val="en-US"/>
        </w:rPr>
        <w:t>Female mice were chosen because they are easier to bre</w:t>
      </w:r>
      <w:r w:rsidR="0025683A" w:rsidRPr="00245623">
        <w:rPr>
          <w:color w:val="00000A"/>
          <w:lang w:val="en-US"/>
        </w:rPr>
        <w:t>e</w:t>
      </w:r>
      <w:r w:rsidR="006A6814" w:rsidRPr="00245623">
        <w:rPr>
          <w:color w:val="00000A"/>
          <w:lang w:val="en-US"/>
        </w:rPr>
        <w:t xml:space="preserve">d </w:t>
      </w:r>
      <w:r w:rsidR="00184A06" w:rsidRPr="00245623">
        <w:rPr>
          <w:color w:val="00000A"/>
          <w:lang w:val="en-US"/>
        </w:rPr>
        <w:t>compared</w:t>
      </w:r>
      <w:r w:rsidR="006A6814" w:rsidRPr="00245623">
        <w:rPr>
          <w:color w:val="00000A"/>
          <w:lang w:val="en-US"/>
        </w:rPr>
        <w:t xml:space="preserve"> to males, </w:t>
      </w:r>
      <w:r w:rsidR="00AB35C8" w:rsidRPr="00245623">
        <w:rPr>
          <w:color w:val="00000A"/>
          <w:lang w:val="en-US"/>
        </w:rPr>
        <w:t>wh</w:t>
      </w:r>
      <w:r w:rsidR="0045177B" w:rsidRPr="00245623">
        <w:rPr>
          <w:color w:val="00000A"/>
          <w:lang w:val="en-US"/>
        </w:rPr>
        <w:t>ereas</w:t>
      </w:r>
      <w:r w:rsidR="006A6814" w:rsidRPr="00245623">
        <w:rPr>
          <w:color w:val="00000A"/>
          <w:lang w:val="en-US"/>
        </w:rPr>
        <w:t xml:space="preserve"> CPZ-induced </w:t>
      </w:r>
      <w:r w:rsidR="00A46132" w:rsidRPr="00245623">
        <w:rPr>
          <w:color w:val="00000A"/>
          <w:lang w:val="en-US"/>
        </w:rPr>
        <w:t xml:space="preserve">cellular changes </w:t>
      </w:r>
      <w:r w:rsidR="0025683A" w:rsidRPr="00245623">
        <w:rPr>
          <w:color w:val="00000A"/>
          <w:lang w:val="en-US"/>
        </w:rPr>
        <w:t xml:space="preserve">are </w:t>
      </w:r>
      <w:r w:rsidR="00A46132" w:rsidRPr="00245623">
        <w:rPr>
          <w:color w:val="00000A"/>
          <w:lang w:val="en-US"/>
        </w:rPr>
        <w:t xml:space="preserve">similar in males and females </w:t>
      </w:r>
      <w:r w:rsidR="00BA76C6" w:rsidRPr="00245623">
        <w:rPr>
          <w:color w:val="00000A"/>
          <w:lang w:val="en-US"/>
        </w:rPr>
        <w:fldChar w:fldCharType="begin"/>
      </w:r>
      <w:r w:rsidR="00AC7306" w:rsidRPr="00245623">
        <w:rPr>
          <w:color w:val="00000A"/>
          <w:lang w:val="en-US"/>
        </w:rPr>
        <w:instrText xml:space="preserve"> ADDIN ZOTERO_ITEM CSL_CITATION {"citationID":"9IKWhS7r","properties":{"formattedCitation":"\\super 23\\nosupersub{}","plainCitation":"23","noteIndex":0},"citationItems":[{"id":625,"uris":["http://zotero.org/users/local/JiswOD7j/items/4NHRRD2T"],"uri":["http://zotero.org/users/local/JiswOD7j/items/4NHRRD2T"],"itemData":{"id":625,"type":"article-journal","container-title":"Journal of Neuroscience Research","DOI":"10.1002/jnr.22215","ISSN":"03604012, 10974547","issue":"2","journalAbbreviation":"J. Neurosci. Res.","language":"en","page":"391-402","source":"DOI.org (Crossref)","title":"Cuprizone induces similar demyelination in male and female C57BL/6 mice and results in disruption of the estrous cycle","volume":"88","author":[{"family":"Taylor","given":"Lorelei C."},{"family":"Gilmore","given":"Wendy"},{"family":"Ting","given":"Jenny P.-Y."},{"family":"Matsushima","given":"Glenn K."}],"issued":{"date-parts":[["2010",2,1]]}}}],"schema":"https://github.com/citation-style-language/schema/raw/master/csl-citation.json"} </w:instrText>
      </w:r>
      <w:r w:rsidR="00BA76C6" w:rsidRPr="00245623">
        <w:rPr>
          <w:color w:val="00000A"/>
          <w:lang w:val="en-US"/>
        </w:rPr>
        <w:fldChar w:fldCharType="separate"/>
      </w:r>
      <w:r w:rsidR="00AC7306" w:rsidRPr="00245623">
        <w:rPr>
          <w:color w:val="000080"/>
          <w:vertAlign w:val="superscript"/>
          <w:lang w:val="en-US"/>
        </w:rPr>
        <w:t>23</w:t>
      </w:r>
      <w:r w:rsidR="00BA76C6" w:rsidRPr="00245623">
        <w:rPr>
          <w:color w:val="00000A"/>
          <w:lang w:val="en-US"/>
        </w:rPr>
        <w:fldChar w:fldCharType="end"/>
      </w:r>
      <w:r w:rsidR="00A46132" w:rsidRPr="00245623">
        <w:rPr>
          <w:color w:val="00000A"/>
          <w:lang w:val="en-US"/>
        </w:rPr>
        <w:t xml:space="preserve">. </w:t>
      </w:r>
      <w:r w:rsidRPr="00245623">
        <w:rPr>
          <w:lang w:val="en-US"/>
        </w:rPr>
        <w:t>Eight</w:t>
      </w:r>
      <w:r w:rsidR="00EE520D" w:rsidRPr="00245623">
        <w:rPr>
          <w:color w:val="00000A"/>
          <w:lang w:val="en-US"/>
        </w:rPr>
        <w:t xml:space="preserve"> mice were fed with 0.2% CPZ for 6 weeks, while 10</w:t>
      </w:r>
      <w:r w:rsidR="00992FEC" w:rsidRPr="00245623">
        <w:rPr>
          <w:lang w:val="en-US"/>
        </w:rPr>
        <w:t xml:space="preserve"> </w:t>
      </w:r>
      <w:r w:rsidR="00EE520D" w:rsidRPr="00245623">
        <w:rPr>
          <w:color w:val="00000A"/>
          <w:lang w:val="en-US"/>
        </w:rPr>
        <w:t xml:space="preserve">mice were fed with a normal chow diet and used as </w:t>
      </w:r>
      <w:r w:rsidR="00992FEC" w:rsidRPr="00245623">
        <w:rPr>
          <w:lang w:val="en-US"/>
        </w:rPr>
        <w:t xml:space="preserve">healthy </w:t>
      </w:r>
      <w:r w:rsidR="00EE520D" w:rsidRPr="00245623">
        <w:rPr>
          <w:color w:val="00000A"/>
          <w:lang w:val="en-US"/>
        </w:rPr>
        <w:t>control</w:t>
      </w:r>
      <w:r w:rsidR="0039095A" w:rsidRPr="00245623">
        <w:rPr>
          <w:color w:val="00000A"/>
          <w:lang w:val="en-US"/>
        </w:rPr>
        <w:t xml:space="preserve"> mice</w:t>
      </w:r>
      <w:r w:rsidR="00EE520D" w:rsidRPr="00245623">
        <w:rPr>
          <w:color w:val="00000A"/>
          <w:lang w:val="en-US"/>
        </w:rPr>
        <w:t xml:space="preserve">. All mice were fed </w:t>
      </w:r>
      <w:r w:rsidR="00EE520D" w:rsidRPr="00245623">
        <w:rPr>
          <w:i/>
          <w:iCs/>
          <w:color w:val="00000A"/>
          <w:lang w:val="en-US"/>
        </w:rPr>
        <w:t xml:space="preserve">ad </w:t>
      </w:r>
      <w:proofErr w:type="spellStart"/>
      <w:r w:rsidR="00EE520D" w:rsidRPr="00245623">
        <w:rPr>
          <w:i/>
          <w:iCs/>
          <w:color w:val="00000A"/>
          <w:lang w:val="en-US"/>
        </w:rPr>
        <w:t>libidum</w:t>
      </w:r>
      <w:proofErr w:type="spellEnd"/>
      <w:r w:rsidR="00E04962" w:rsidRPr="00245623">
        <w:rPr>
          <w:i/>
          <w:iCs/>
          <w:color w:val="00000A"/>
          <w:lang w:val="en-US"/>
        </w:rPr>
        <w:t xml:space="preserve"> </w:t>
      </w:r>
      <w:r w:rsidR="00BA76C6" w:rsidRPr="00245623">
        <w:rPr>
          <w:color w:val="000000" w:themeColor="text1"/>
          <w:lang w:val="en-US"/>
        </w:rPr>
        <w:fldChar w:fldCharType="begin"/>
      </w:r>
      <w:r w:rsidR="00AC7306" w:rsidRPr="00245623">
        <w:rPr>
          <w:color w:val="000000" w:themeColor="text1"/>
          <w:lang w:val="en-US"/>
        </w:rPr>
        <w:instrText xml:space="preserve"> ADDIN ZOTERO_ITEM CSL_CITATION {"citationID":"a1vegtg3n18","properties":{"formattedCitation":"\\super 24\\nosupersub{}","plainCitation":"24","noteIndex":0},"citationItems":[{"id":"yEIY31OZ/ww55NSNK","uris":["http://zotero.org/users/local/NqRmoWsl/items/2WGZX8FX"],"uri":["http://zotero.org/users/local/NqRmoWsl/items/2WGZX8FX"],"itemData":{"id":152,"type":"article-journal","title":"Remyelination After Cuprizone-Induced Demyelination Is Accelerated in Juvenile Mice","container-title":"Journal of Neuropathology &amp; Experimental Neurology","page":"756-766","volume":"74","issue":"8","source":"DOI.org (Crossref)","abstract":"Remyelination capacity decreases with age in adult mice, but data comparing remyelination capacity after toxic demyelination in developing mice versus adult mice are not available. We treated 3week-old and adult C57BL/6 mice with cuprizone for 1 to 5 weeks and studied demyelination/remyelination and cellular reactions in the corpus callosum and motor cortex by histology, immunohistochemistry, and electron microscopy. We compared results between the 2 treated groups and age-matched controls. In juvenile mice, signiﬁcant demyelination was detectable in the corpus callosum on Week 2 and in the motor cortex on Week 5. Oligodendrocyte loss, microglial activation, and acute axonal damage peaked on Week 2. Increased numbers of oligodendrocyte precursor cells were evident on Week 1, and remyelination was detectable on Week 3. Juvenile mice showed more rapid demyelination than adult mice, which may be related to greater vulnerability of oligodendrocytes, lower myelin content, or dose-dependent cuprizone effects. Earlier activation of microglia and proliferation of oligodendrocyte precursor cells probably contributed to accelerated remyelination and less pronounced axonal damage. Our data indicate that oligodendroglial regeneration and remyelination are enhanced in the maturing rodent brain compared with the young-adult rodent brain.","DOI":"10.1097/NEN.0000000000000214","ISSN":"0022-3069, 1554-6578","journalAbbreviation":"J Neuropathol Exp Neurol","language":"en","author":[{"family":"Pfeifenbring","given":"Sabine"},{"family":"Nessler","given":"Stefan"},{"family":"Wegner","given":"Christiane"},{"family":"Stadelmann","given":"Christine"},{"family":"Brück","given":"Wolfgang"}],"issued":{"date-parts":[["2015",8]]}}}],"schema":"https://github.com/citation-style-language/schema/raw/master/csl-citation.json"} </w:instrText>
      </w:r>
      <w:r w:rsidR="00BA76C6" w:rsidRPr="00245623">
        <w:rPr>
          <w:color w:val="000000" w:themeColor="text1"/>
          <w:lang w:val="en-US"/>
        </w:rPr>
        <w:fldChar w:fldCharType="separate"/>
      </w:r>
      <w:bookmarkStart w:id="2" w:name="__Fieldmark__5505_2122895447"/>
      <w:bookmarkStart w:id="3" w:name="__Fieldmark__13056_283763394"/>
      <w:r w:rsidR="00AC7306" w:rsidRPr="00245623">
        <w:rPr>
          <w:color w:val="000000"/>
          <w:vertAlign w:val="superscript"/>
          <w:lang w:val="en-US"/>
        </w:rPr>
        <w:t>24</w:t>
      </w:r>
      <w:r w:rsidR="00BA76C6" w:rsidRPr="00245623">
        <w:rPr>
          <w:color w:val="000000" w:themeColor="text1"/>
          <w:lang w:val="en-US"/>
        </w:rPr>
        <w:fldChar w:fldCharType="end"/>
      </w:r>
      <w:bookmarkEnd w:id="2"/>
      <w:bookmarkEnd w:id="3"/>
      <w:r w:rsidR="00EE520D" w:rsidRPr="00245623">
        <w:rPr>
          <w:color w:val="000000" w:themeColor="text1"/>
          <w:lang w:val="en-US"/>
        </w:rPr>
        <w:t>.</w:t>
      </w:r>
      <w:r w:rsidR="00F45866" w:rsidRPr="00245623">
        <w:rPr>
          <w:lang w:val="en-US"/>
        </w:rPr>
        <w:t xml:space="preserve"> Animal care was </w:t>
      </w:r>
      <w:r w:rsidR="0025683A" w:rsidRPr="00245623">
        <w:rPr>
          <w:lang w:val="en-US"/>
        </w:rPr>
        <w:t xml:space="preserve">provided </w:t>
      </w:r>
      <w:r w:rsidR="00F45866" w:rsidRPr="00245623">
        <w:rPr>
          <w:lang w:val="en-US"/>
        </w:rPr>
        <w:t>by a veterinarian and animal technicians.</w:t>
      </w:r>
    </w:p>
    <w:p w14:paraId="6B3C17C6" w14:textId="7C138D69" w:rsidR="00BE2AFB" w:rsidRPr="00245623" w:rsidRDefault="0069250E" w:rsidP="006B5E60">
      <w:pPr>
        <w:pStyle w:val="NormalWeb"/>
        <w:spacing w:after="0" w:afterAutospacing="0" w:line="480" w:lineRule="auto"/>
        <w:jc w:val="both"/>
        <w:rPr>
          <w:lang w:val="en-US"/>
        </w:rPr>
      </w:pPr>
      <w:r w:rsidRPr="00245623">
        <w:rPr>
          <w:lang w:val="en-US"/>
        </w:rPr>
        <w:t>This study was part of a larger multimodal MRI study (MAXIMS</w:t>
      </w:r>
      <w:r w:rsidRPr="00245623">
        <w:rPr>
          <w:bCs/>
          <w:szCs w:val="22"/>
          <w:lang w:val="en-US"/>
        </w:rPr>
        <w:t>: M</w:t>
      </w:r>
      <w:r w:rsidRPr="00245623">
        <w:rPr>
          <w:szCs w:val="22"/>
          <w:lang w:val="en-US"/>
        </w:rPr>
        <w:t xml:space="preserve">yelin and </w:t>
      </w:r>
      <w:proofErr w:type="spellStart"/>
      <w:r w:rsidRPr="00245623">
        <w:rPr>
          <w:bCs/>
          <w:szCs w:val="22"/>
          <w:lang w:val="en-US"/>
        </w:rPr>
        <w:t>AX</w:t>
      </w:r>
      <w:r w:rsidRPr="00245623">
        <w:rPr>
          <w:szCs w:val="22"/>
          <w:lang w:val="en-US"/>
        </w:rPr>
        <w:t>on</w:t>
      </w:r>
      <w:proofErr w:type="spellEnd"/>
      <w:r w:rsidRPr="00245623">
        <w:rPr>
          <w:szCs w:val="22"/>
          <w:lang w:val="en-US"/>
        </w:rPr>
        <w:t xml:space="preserve"> </w:t>
      </w:r>
      <w:r w:rsidRPr="00245623">
        <w:rPr>
          <w:bCs/>
          <w:szCs w:val="22"/>
          <w:lang w:val="en-US"/>
        </w:rPr>
        <w:t>I</w:t>
      </w:r>
      <w:r w:rsidRPr="00245623">
        <w:rPr>
          <w:szCs w:val="22"/>
          <w:lang w:val="en-US"/>
        </w:rPr>
        <w:t xml:space="preserve">maging </w:t>
      </w:r>
      <w:r w:rsidRPr="00245623">
        <w:rPr>
          <w:bCs/>
          <w:szCs w:val="22"/>
          <w:lang w:val="en-US"/>
        </w:rPr>
        <w:t>M</w:t>
      </w:r>
      <w:r w:rsidRPr="00245623">
        <w:rPr>
          <w:szCs w:val="22"/>
          <w:lang w:val="en-US"/>
        </w:rPr>
        <w:t xml:space="preserve">arkers </w:t>
      </w:r>
      <w:r w:rsidRPr="00245623">
        <w:rPr>
          <w:bCs/>
          <w:szCs w:val="22"/>
          <w:lang w:val="en-US"/>
        </w:rPr>
        <w:t>S</w:t>
      </w:r>
      <w:r w:rsidRPr="00245623">
        <w:rPr>
          <w:szCs w:val="22"/>
          <w:lang w:val="en-US"/>
        </w:rPr>
        <w:t>pecificity</w:t>
      </w:r>
      <w:r w:rsidRPr="00245623">
        <w:rPr>
          <w:lang w:val="en-US"/>
        </w:rPr>
        <w:t xml:space="preserve">) </w:t>
      </w:r>
      <w:r w:rsidR="00BA677E" w:rsidRPr="00245623">
        <w:rPr>
          <w:lang w:val="en-US"/>
        </w:rPr>
        <w:t>aiming at</w:t>
      </w:r>
      <w:r w:rsidRPr="00245623">
        <w:rPr>
          <w:lang w:val="en-US"/>
        </w:rPr>
        <w:t xml:space="preserve"> validat</w:t>
      </w:r>
      <w:r w:rsidR="00BA677E" w:rsidRPr="00245623">
        <w:rPr>
          <w:lang w:val="en-US"/>
        </w:rPr>
        <w:t>ing</w:t>
      </w:r>
      <w:r w:rsidRPr="00245623">
        <w:rPr>
          <w:lang w:val="en-US"/>
        </w:rPr>
        <w:t xml:space="preserve">, through direct comparison with histology, noninvasive imaging markers of inflammation and </w:t>
      </w:r>
      <w:r w:rsidR="00BA677E" w:rsidRPr="00245623">
        <w:rPr>
          <w:lang w:val="en-US"/>
        </w:rPr>
        <w:t xml:space="preserve">axonal </w:t>
      </w:r>
      <w:r w:rsidRPr="00245623">
        <w:rPr>
          <w:lang w:val="en-US"/>
        </w:rPr>
        <w:t xml:space="preserve">degeneration in </w:t>
      </w:r>
      <w:r w:rsidR="00BA677E" w:rsidRPr="00245623">
        <w:rPr>
          <w:lang w:val="en-US"/>
        </w:rPr>
        <w:t>the CPZ model</w:t>
      </w:r>
      <w:r w:rsidRPr="00245623">
        <w:rPr>
          <w:lang w:val="en-US"/>
        </w:rPr>
        <w:t xml:space="preserve">. </w:t>
      </w:r>
      <w:r w:rsidR="00BA677E" w:rsidRPr="00245623">
        <w:rPr>
          <w:lang w:val="en-US"/>
        </w:rPr>
        <w:t xml:space="preserve">The mice were therefore split in two groups. </w:t>
      </w:r>
      <w:r w:rsidR="00184A06" w:rsidRPr="00245623">
        <w:rPr>
          <w:lang w:val="en-US"/>
        </w:rPr>
        <w:t xml:space="preserve">After </w:t>
      </w:r>
      <w:r w:rsidR="0045177B" w:rsidRPr="00245623">
        <w:rPr>
          <w:lang w:val="en-US"/>
        </w:rPr>
        <w:t xml:space="preserve">the </w:t>
      </w:r>
      <w:r w:rsidR="00184A06" w:rsidRPr="00245623">
        <w:rPr>
          <w:lang w:val="en-US"/>
        </w:rPr>
        <w:t>imaging</w:t>
      </w:r>
      <w:r w:rsidR="0045177B" w:rsidRPr="00245623">
        <w:rPr>
          <w:lang w:val="en-US"/>
        </w:rPr>
        <w:t xml:space="preserve"> session</w:t>
      </w:r>
      <w:r w:rsidR="00184A06" w:rsidRPr="00245623">
        <w:rPr>
          <w:lang w:val="en-US"/>
        </w:rPr>
        <w:t>, h</w:t>
      </w:r>
      <w:r w:rsidR="00BA677E" w:rsidRPr="00245623">
        <w:rPr>
          <w:lang w:val="en-US"/>
        </w:rPr>
        <w:t xml:space="preserve">alf of them were sacrificed for electron microscopy (EM) assessment and the other half for IHC assessment. </w:t>
      </w:r>
      <w:r w:rsidR="00F21D56" w:rsidRPr="00245623">
        <w:rPr>
          <w:lang w:val="en-US"/>
        </w:rPr>
        <w:t xml:space="preserve">The MRI markers were </w:t>
      </w:r>
      <w:r w:rsidR="00F21D56" w:rsidRPr="00245623">
        <w:rPr>
          <w:lang w:val="en-US"/>
        </w:rPr>
        <w:lastRenderedPageBreak/>
        <w:t xml:space="preserve">correlated with EM markers, and the results were the object of an independent article </w:t>
      </w:r>
      <w:r w:rsidR="00BA76C6" w:rsidRPr="00245623">
        <w:rPr>
          <w:lang w:val="en-US"/>
        </w:rPr>
        <w:fldChar w:fldCharType="begin"/>
      </w:r>
      <w:r w:rsidR="00AC7306" w:rsidRPr="00245623">
        <w:rPr>
          <w:lang w:val="en-US"/>
        </w:rPr>
        <w:instrText xml:space="preserve"> ADDIN ZOTERO_ITEM CSL_CITATION {"citationID":"csaFE7gq","properties":{"formattedCitation":"\\super 25\\nosupersub{}","plainCitation":"25","noteIndex":0},"citationItems":[{"id":626,"uris":["http://zotero.org/users/local/JiswOD7j/items/JCWZ2ACZ"],"uri":["http://zotero.org/users/local/JiswOD7j/items/JCWZ2ACZ"],"itemData":{"id":626,"type":"article-journal","container-title":"arXiv preprint arXiv:1907.02324","title":"Machine learning based white matter models with permeability: an experimental study in cuprizone treated in-vivo mouse model of axonal demyelination","author":[{"family":"Hill","given":"Ioana"},{"family":"Palombo","given":"Marco"},{"family":"Santin","given":"Mathieu"},{"family":"Branzoli","given":"Francesca"},{"family":"Philippe","given":"Anne-Charlotte"},{"family":"Wassermann","given":"Demian"},{"family":"Aigrot","given":"Marie-Stéphane"}],"issued":{"date-parts":[["2019"]]}}}],"schema":"https://github.com/citation-style-language/schema/raw/master/csl-citation.json"} </w:instrText>
      </w:r>
      <w:r w:rsidR="00BA76C6" w:rsidRPr="00245623">
        <w:rPr>
          <w:lang w:val="en-US"/>
        </w:rPr>
        <w:fldChar w:fldCharType="separate"/>
      </w:r>
      <w:r w:rsidR="00AC7306" w:rsidRPr="00245623">
        <w:rPr>
          <w:vertAlign w:val="superscript"/>
          <w:lang w:val="en-US"/>
        </w:rPr>
        <w:t>25</w:t>
      </w:r>
      <w:r w:rsidR="00BA76C6" w:rsidRPr="00245623">
        <w:rPr>
          <w:lang w:val="en-US"/>
        </w:rPr>
        <w:fldChar w:fldCharType="end"/>
      </w:r>
      <w:r w:rsidR="00F21D56" w:rsidRPr="00245623">
        <w:rPr>
          <w:lang w:val="en-US"/>
        </w:rPr>
        <w:t>.</w:t>
      </w:r>
      <w:r w:rsidR="00F21D56" w:rsidRPr="00245623">
        <w:rPr>
          <w:b/>
          <w:lang w:val="en-US"/>
        </w:rPr>
        <w:t xml:space="preserve"> </w:t>
      </w:r>
      <w:r w:rsidRPr="00245623">
        <w:rPr>
          <w:lang w:val="en-US"/>
        </w:rPr>
        <w:t xml:space="preserve">Here, we present the results obtained from DW-MRS experiments, which were correlated with </w:t>
      </w:r>
      <w:r w:rsidR="009C18D5" w:rsidRPr="00245623">
        <w:rPr>
          <w:lang w:val="en-US"/>
        </w:rPr>
        <w:t xml:space="preserve">astrocyte- and microglia-specific </w:t>
      </w:r>
      <w:r w:rsidRPr="00245623">
        <w:rPr>
          <w:lang w:val="en-US"/>
        </w:rPr>
        <w:t>IHC markers</w:t>
      </w:r>
      <w:r w:rsidR="00BA677E" w:rsidRPr="00245623">
        <w:rPr>
          <w:lang w:val="en-US"/>
        </w:rPr>
        <w:t xml:space="preserve">. </w:t>
      </w:r>
    </w:p>
    <w:p w14:paraId="1524F07B" w14:textId="77777777" w:rsidR="00BE2AFB" w:rsidRPr="00245623" w:rsidRDefault="00BE2AFB" w:rsidP="00BE2AFB">
      <w:pPr>
        <w:pStyle w:val="NormalWeb"/>
        <w:spacing w:before="0" w:beforeAutospacing="0" w:after="0" w:afterAutospacing="0" w:line="480" w:lineRule="auto"/>
        <w:jc w:val="both"/>
        <w:rPr>
          <w:lang w:val="en-US"/>
        </w:rPr>
      </w:pPr>
    </w:p>
    <w:p w14:paraId="7C94A0FE" w14:textId="5FA56957" w:rsidR="00BE7097" w:rsidRPr="00245623" w:rsidRDefault="006B5E60">
      <w:pPr>
        <w:pStyle w:val="Titre3"/>
        <w:spacing w:line="480" w:lineRule="auto"/>
        <w:rPr>
          <w:rFonts w:ascii="Times New Roman" w:hAnsi="Times New Roman" w:cs="Times New Roman"/>
          <w:szCs w:val="26"/>
        </w:rPr>
      </w:pPr>
      <w:r w:rsidRPr="00245623">
        <w:rPr>
          <w:rFonts w:ascii="Times New Roman" w:hAnsi="Times New Roman" w:cs="Times New Roman"/>
          <w:szCs w:val="26"/>
        </w:rPr>
        <w:t xml:space="preserve">2.2 </w:t>
      </w:r>
      <w:r w:rsidR="00EE520D" w:rsidRPr="00245623">
        <w:rPr>
          <w:rFonts w:ascii="Times New Roman" w:hAnsi="Times New Roman" w:cs="Times New Roman"/>
          <w:szCs w:val="26"/>
        </w:rPr>
        <w:t>Experimental procedures</w:t>
      </w:r>
    </w:p>
    <w:p w14:paraId="6CF11FD7" w14:textId="4E2E3239" w:rsidR="00BE7097" w:rsidRPr="00245623" w:rsidRDefault="00EE520D" w:rsidP="00B0286C">
      <w:pPr>
        <w:spacing w:line="480" w:lineRule="auto"/>
        <w:jc w:val="both"/>
        <w:rPr>
          <w:lang w:val="en-US"/>
        </w:rPr>
      </w:pPr>
      <w:r w:rsidRPr="00245623">
        <w:rPr>
          <w:lang w:val="en-US"/>
        </w:rPr>
        <w:t>Prior to the MRI/MRS experiments, the mice were anesthetized with 4% isoflurane in a mixture of air (flow rate: 1 l/min) and oxygen (flow rate: 0.2 l/min)</w:t>
      </w:r>
      <w:r w:rsidR="00146CBD" w:rsidRPr="00245623">
        <w:rPr>
          <w:lang w:val="en-US"/>
        </w:rPr>
        <w:t xml:space="preserve"> for induction</w:t>
      </w:r>
      <w:r w:rsidRPr="00245623">
        <w:rPr>
          <w:lang w:val="en-US"/>
        </w:rPr>
        <w:t xml:space="preserve">.  The mice were then placed on a stereotaxic bed with a bite bar and two ear bars. During the experiments, the level of anesthesia was maintained between 1 and 1.5% to keep the </w:t>
      </w:r>
      <w:r w:rsidR="009C18D5" w:rsidRPr="00245623">
        <w:rPr>
          <w:lang w:val="en-US"/>
        </w:rPr>
        <w:t xml:space="preserve">animal </w:t>
      </w:r>
      <w:r w:rsidRPr="00245623">
        <w:rPr>
          <w:lang w:val="en-US"/>
        </w:rPr>
        <w:t>breathing in a range of 50-70 breaths per minute. The respiratory rate was continuously monitored with a respiration sensor placed under the animal’s abdomen and connected to a computer running the</w:t>
      </w:r>
      <w:r w:rsidR="00F21D56" w:rsidRPr="00245623">
        <w:rPr>
          <w:lang w:val="en-US"/>
        </w:rPr>
        <w:t xml:space="preserve"> small animal</w:t>
      </w:r>
      <w:r w:rsidRPr="00245623">
        <w:rPr>
          <w:lang w:val="en-US"/>
        </w:rPr>
        <w:t xml:space="preserve"> </w:t>
      </w:r>
      <w:r w:rsidR="00F21D56" w:rsidRPr="00245623">
        <w:rPr>
          <w:lang w:val="en-US"/>
        </w:rPr>
        <w:t>r</w:t>
      </w:r>
      <w:r w:rsidRPr="00245623">
        <w:rPr>
          <w:lang w:val="en-US"/>
        </w:rPr>
        <w:t xml:space="preserve">espiration-monitoring software. The mice temperature was maintained at 37°C with regulated water flow integrated to the stereotaxic bed and monitored with an endorectal probe. </w:t>
      </w:r>
    </w:p>
    <w:p w14:paraId="795F66C6" w14:textId="77777777" w:rsidR="008D5904" w:rsidRPr="00245623" w:rsidRDefault="008D5904">
      <w:pPr>
        <w:pStyle w:val="Titre3"/>
        <w:spacing w:line="480" w:lineRule="auto"/>
        <w:rPr>
          <w:rFonts w:ascii="Times New Roman" w:hAnsi="Times New Roman" w:cs="Times New Roman"/>
          <w:sz w:val="24"/>
          <w:szCs w:val="26"/>
        </w:rPr>
      </w:pPr>
    </w:p>
    <w:p w14:paraId="5BF6BAE1" w14:textId="7A9DFB3A" w:rsidR="00BE7097" w:rsidRPr="00245623" w:rsidRDefault="006B5E60">
      <w:pPr>
        <w:pStyle w:val="Titre3"/>
        <w:spacing w:line="480" w:lineRule="auto"/>
        <w:rPr>
          <w:rFonts w:ascii="Times New Roman" w:hAnsi="Times New Roman" w:cs="Times New Roman"/>
          <w:szCs w:val="26"/>
        </w:rPr>
      </w:pPr>
      <w:r w:rsidRPr="00245623">
        <w:rPr>
          <w:rFonts w:ascii="Times New Roman" w:hAnsi="Times New Roman" w:cs="Times New Roman"/>
          <w:szCs w:val="26"/>
        </w:rPr>
        <w:t xml:space="preserve">2.3 </w:t>
      </w:r>
      <w:r w:rsidR="00EE520D" w:rsidRPr="00245623">
        <w:rPr>
          <w:rFonts w:ascii="Times New Roman" w:hAnsi="Times New Roman" w:cs="Times New Roman"/>
          <w:szCs w:val="26"/>
        </w:rPr>
        <w:t>MRI hardware</w:t>
      </w:r>
    </w:p>
    <w:p w14:paraId="0A18CE5A" w14:textId="62D9AD2D" w:rsidR="008D5904" w:rsidRPr="00245623" w:rsidRDefault="00EE520D" w:rsidP="00EC0881">
      <w:pPr>
        <w:spacing w:line="480" w:lineRule="auto"/>
        <w:jc w:val="both"/>
        <w:rPr>
          <w:color w:val="00000A"/>
          <w:lang w:val="en-US"/>
        </w:rPr>
      </w:pPr>
      <w:r w:rsidRPr="00245623">
        <w:rPr>
          <w:color w:val="00000A"/>
          <w:lang w:val="en-US"/>
        </w:rPr>
        <w:t>All mice were scanned with a</w:t>
      </w:r>
      <w:r w:rsidR="00B32646" w:rsidRPr="00245623">
        <w:rPr>
          <w:color w:val="00000A"/>
          <w:lang w:val="en-US"/>
        </w:rPr>
        <w:t xml:space="preserve"> 117/16</w:t>
      </w:r>
      <w:r w:rsidRPr="00245623">
        <w:rPr>
          <w:color w:val="00000A"/>
          <w:lang w:val="en-US"/>
        </w:rPr>
        <w:t xml:space="preserve"> </w:t>
      </w:r>
      <w:proofErr w:type="spellStart"/>
      <w:r w:rsidR="00B32646" w:rsidRPr="00245623">
        <w:rPr>
          <w:color w:val="00000A"/>
          <w:lang w:val="en-US"/>
        </w:rPr>
        <w:t>Biospec</w:t>
      </w:r>
      <w:proofErr w:type="spellEnd"/>
      <w:r w:rsidR="00B32646" w:rsidRPr="00245623">
        <w:rPr>
          <w:color w:val="00000A"/>
          <w:lang w:val="en-US"/>
        </w:rPr>
        <w:t xml:space="preserve"> </w:t>
      </w:r>
      <w:r w:rsidRPr="00245623">
        <w:rPr>
          <w:color w:val="00000A"/>
          <w:lang w:val="en-US"/>
        </w:rPr>
        <w:t xml:space="preserve">horizontal </w:t>
      </w:r>
      <w:r w:rsidR="00B32646" w:rsidRPr="00245623">
        <w:rPr>
          <w:color w:val="00000A"/>
          <w:lang w:val="en-US"/>
        </w:rPr>
        <w:t xml:space="preserve">magnet (Bruker, </w:t>
      </w:r>
      <w:proofErr w:type="spellStart"/>
      <w:r w:rsidR="00B32646" w:rsidRPr="00245623">
        <w:rPr>
          <w:color w:val="00000A"/>
          <w:lang w:val="en-US"/>
        </w:rPr>
        <w:t>Ettlingen</w:t>
      </w:r>
      <w:proofErr w:type="spellEnd"/>
      <w:r w:rsidR="00B32646" w:rsidRPr="00245623">
        <w:rPr>
          <w:color w:val="00000A"/>
          <w:lang w:val="en-US"/>
        </w:rPr>
        <w:t>, Germany)</w:t>
      </w:r>
      <w:r w:rsidRPr="00245623">
        <w:rPr>
          <w:color w:val="00000A"/>
          <w:lang w:val="en-US"/>
        </w:rPr>
        <w:t xml:space="preserve"> running </w:t>
      </w:r>
      <w:proofErr w:type="spellStart"/>
      <w:r w:rsidRPr="00245623">
        <w:rPr>
          <w:color w:val="00000A"/>
          <w:lang w:val="en-US"/>
        </w:rPr>
        <w:t>Paravision</w:t>
      </w:r>
      <w:proofErr w:type="spellEnd"/>
      <w:r w:rsidRPr="00245623">
        <w:rPr>
          <w:color w:val="00000A"/>
          <w:lang w:val="en-US"/>
        </w:rPr>
        <w:t xml:space="preserve"> 6.0</w:t>
      </w:r>
      <w:r w:rsidR="00B32646" w:rsidRPr="00245623">
        <w:rPr>
          <w:color w:val="00000A"/>
          <w:lang w:val="en-US"/>
        </w:rPr>
        <w:t>.1</w:t>
      </w:r>
      <w:r w:rsidRPr="00245623">
        <w:rPr>
          <w:color w:val="00000A"/>
          <w:lang w:val="en-US"/>
        </w:rPr>
        <w:t xml:space="preserve"> (Bruker, </w:t>
      </w:r>
      <w:proofErr w:type="spellStart"/>
      <w:r w:rsidRPr="00245623">
        <w:rPr>
          <w:color w:val="00000A"/>
          <w:lang w:val="en-US"/>
        </w:rPr>
        <w:t>Ettlingen</w:t>
      </w:r>
      <w:proofErr w:type="spellEnd"/>
      <w:r w:rsidRPr="00245623">
        <w:rPr>
          <w:color w:val="00000A"/>
          <w:lang w:val="en-US"/>
        </w:rPr>
        <w:t xml:space="preserve">, Germany). The scanner was </w:t>
      </w:r>
      <w:r w:rsidR="00B32646" w:rsidRPr="00245623">
        <w:rPr>
          <w:color w:val="00000A"/>
          <w:lang w:val="en-US"/>
        </w:rPr>
        <w:t xml:space="preserve">equipped with a BGA-9 gradient coil </w:t>
      </w:r>
      <w:r w:rsidRPr="00245623">
        <w:rPr>
          <w:color w:val="00000A"/>
          <w:lang w:val="en-US"/>
        </w:rPr>
        <w:t xml:space="preserve">capable of reaching 752 </w:t>
      </w:r>
      <w:proofErr w:type="spellStart"/>
      <w:r w:rsidRPr="00245623">
        <w:rPr>
          <w:color w:val="00000A"/>
          <w:lang w:val="en-US"/>
        </w:rPr>
        <w:t>mT</w:t>
      </w:r>
      <w:proofErr w:type="spellEnd"/>
      <w:r w:rsidRPr="00245623">
        <w:rPr>
          <w:color w:val="00000A"/>
          <w:lang w:val="en-US"/>
        </w:rPr>
        <w:t xml:space="preserve">/m on each axis and a quadrature </w:t>
      </w:r>
      <w:proofErr w:type="spellStart"/>
      <w:r w:rsidRPr="00245623">
        <w:rPr>
          <w:color w:val="00000A"/>
          <w:lang w:val="en-US"/>
        </w:rPr>
        <w:t>surfacec</w:t>
      </w:r>
      <w:r w:rsidR="00B32646" w:rsidRPr="00245623">
        <w:rPr>
          <w:color w:val="00000A"/>
          <w:lang w:val="en-US"/>
        </w:rPr>
        <w:t>C</w:t>
      </w:r>
      <w:r w:rsidRPr="00245623">
        <w:rPr>
          <w:color w:val="00000A"/>
          <w:lang w:val="en-US"/>
        </w:rPr>
        <w:t>ryoprobe</w:t>
      </w:r>
      <w:r w:rsidR="00B32646" w:rsidRPr="00245623">
        <w:rPr>
          <w:color w:val="00000A"/>
          <w:vertAlign w:val="superscript"/>
          <w:lang w:val="en-US"/>
        </w:rPr>
        <w:t>TM</w:t>
      </w:r>
      <w:proofErr w:type="spellEnd"/>
      <w:r w:rsidRPr="00245623">
        <w:rPr>
          <w:color w:val="00000A"/>
          <w:lang w:val="en-US"/>
        </w:rPr>
        <w:t xml:space="preserve"> (Bruker, </w:t>
      </w:r>
      <w:proofErr w:type="spellStart"/>
      <w:r w:rsidRPr="00245623">
        <w:rPr>
          <w:color w:val="00000A"/>
          <w:lang w:val="en-US"/>
        </w:rPr>
        <w:t>Ettlingen</w:t>
      </w:r>
      <w:proofErr w:type="spellEnd"/>
      <w:r w:rsidRPr="00245623">
        <w:rPr>
          <w:color w:val="00000A"/>
          <w:lang w:val="en-US"/>
        </w:rPr>
        <w:t xml:space="preserve">, Germany) for </w:t>
      </w:r>
      <w:r w:rsidR="00B32646" w:rsidRPr="00245623">
        <w:rPr>
          <w:color w:val="00000A"/>
          <w:lang w:val="en-US"/>
        </w:rPr>
        <w:t xml:space="preserve">both </w:t>
      </w:r>
      <w:r w:rsidRPr="00245623">
        <w:rPr>
          <w:color w:val="00000A"/>
          <w:lang w:val="en-US"/>
        </w:rPr>
        <w:t xml:space="preserve">radiofrequency transmission and reception. </w:t>
      </w:r>
    </w:p>
    <w:p w14:paraId="53D5935A" w14:textId="77777777" w:rsidR="00EC0881" w:rsidRPr="00245623" w:rsidRDefault="00EC0881" w:rsidP="00EC0881">
      <w:pPr>
        <w:spacing w:line="480" w:lineRule="auto"/>
        <w:jc w:val="both"/>
        <w:rPr>
          <w:lang w:val="en-US"/>
        </w:rPr>
      </w:pPr>
    </w:p>
    <w:p w14:paraId="74B0FA2E" w14:textId="70293393" w:rsidR="00BE7097" w:rsidRPr="00245623" w:rsidRDefault="006B5E60">
      <w:pPr>
        <w:pStyle w:val="Titre3"/>
        <w:spacing w:line="480" w:lineRule="auto"/>
        <w:rPr>
          <w:rFonts w:ascii="Times New Roman" w:hAnsi="Times New Roman" w:cs="Times New Roman"/>
          <w:szCs w:val="26"/>
        </w:rPr>
      </w:pPr>
      <w:r w:rsidRPr="00245623">
        <w:rPr>
          <w:rFonts w:ascii="Times New Roman" w:hAnsi="Times New Roman" w:cs="Times New Roman"/>
          <w:szCs w:val="26"/>
        </w:rPr>
        <w:t xml:space="preserve">2.4 </w:t>
      </w:r>
      <w:r w:rsidR="00EE520D" w:rsidRPr="00245623">
        <w:rPr>
          <w:rFonts w:ascii="Times New Roman" w:hAnsi="Times New Roman" w:cs="Times New Roman"/>
          <w:szCs w:val="26"/>
        </w:rPr>
        <w:t>MRI/MRS protocol</w:t>
      </w:r>
    </w:p>
    <w:p w14:paraId="447AAC59" w14:textId="1B0A2937" w:rsidR="00BE7097" w:rsidRPr="00245623" w:rsidRDefault="00EE520D" w:rsidP="001E646D">
      <w:pPr>
        <w:spacing w:line="480" w:lineRule="auto"/>
        <w:jc w:val="both"/>
        <w:rPr>
          <w:lang w:val="en-US"/>
        </w:rPr>
      </w:pPr>
      <w:r w:rsidRPr="00245623">
        <w:rPr>
          <w:lang w:val="en-US"/>
        </w:rPr>
        <w:t xml:space="preserve">In order to place the spectroscopic volume of interest (VOI), two-dimensional </w:t>
      </w:r>
      <w:r w:rsidRPr="00245623">
        <w:rPr>
          <w:i/>
          <w:lang w:val="en-US"/>
        </w:rPr>
        <w:t>T</w:t>
      </w:r>
      <w:r w:rsidRPr="00245623">
        <w:rPr>
          <w:i/>
          <w:vertAlign w:val="subscript"/>
          <w:lang w:val="en-US"/>
        </w:rPr>
        <w:t>2</w:t>
      </w:r>
      <w:r w:rsidRPr="00245623">
        <w:rPr>
          <w:lang w:val="en-US"/>
        </w:rPr>
        <w:t xml:space="preserve">-weighted sagittal and transversal images were acquired with a multi-slice multi-echo sequence (isotropic field of view, 16 mm; matrix size: </w:t>
      </w:r>
      <w:r w:rsidR="00281663" w:rsidRPr="00245623">
        <w:rPr>
          <w:lang w:val="en-US"/>
        </w:rPr>
        <w:t>160</w:t>
      </w:r>
      <w:r w:rsidRPr="00245623">
        <w:rPr>
          <w:lang w:val="en-US"/>
        </w:rPr>
        <w:t xml:space="preserve"> × </w:t>
      </w:r>
      <w:r w:rsidR="00281663" w:rsidRPr="00245623">
        <w:rPr>
          <w:lang w:val="en-US"/>
        </w:rPr>
        <w:t>160</w:t>
      </w:r>
      <w:r w:rsidRPr="00245623">
        <w:rPr>
          <w:lang w:val="en-US"/>
        </w:rPr>
        <w:t>; isotropic resolution, 0.</w:t>
      </w:r>
      <w:r w:rsidR="00281663" w:rsidRPr="00245623">
        <w:rPr>
          <w:lang w:val="en-US"/>
        </w:rPr>
        <w:t>1</w:t>
      </w:r>
      <w:r w:rsidRPr="00245623">
        <w:rPr>
          <w:lang w:val="en-US"/>
        </w:rPr>
        <w:t xml:space="preserve"> mm; </w:t>
      </w:r>
      <w:r w:rsidRPr="00245623">
        <w:rPr>
          <w:i/>
          <w:lang w:val="en-US"/>
        </w:rPr>
        <w:t>T</w:t>
      </w:r>
      <w:r w:rsidRPr="00245623">
        <w:rPr>
          <w:vertAlign w:val="subscript"/>
          <w:lang w:val="en-US"/>
        </w:rPr>
        <w:t>R</w:t>
      </w:r>
      <w:r w:rsidRPr="00245623">
        <w:rPr>
          <w:lang w:val="en-US"/>
        </w:rPr>
        <w:t>/</w:t>
      </w:r>
      <w:r w:rsidRPr="00245623">
        <w:rPr>
          <w:i/>
          <w:lang w:val="en-US"/>
        </w:rPr>
        <w:t>T</w:t>
      </w:r>
      <w:r w:rsidRPr="00245623">
        <w:rPr>
          <w:vertAlign w:val="subscript"/>
          <w:lang w:val="en-US"/>
        </w:rPr>
        <w:t>E</w:t>
      </w:r>
      <w:r w:rsidRPr="00245623">
        <w:rPr>
          <w:lang w:val="en-US"/>
        </w:rPr>
        <w:t xml:space="preserve">, 1500/20 ms; total acquisition time, 4 min). </w:t>
      </w:r>
    </w:p>
    <w:p w14:paraId="3132B311" w14:textId="7AE0C51F" w:rsidR="00BE7097" w:rsidRPr="00245623" w:rsidRDefault="00EE520D" w:rsidP="00B0286C">
      <w:pPr>
        <w:spacing w:line="480" w:lineRule="auto"/>
        <w:jc w:val="both"/>
        <w:rPr>
          <w:iCs/>
          <w:sz w:val="22"/>
          <w:szCs w:val="22"/>
          <w:lang w:val="en-US"/>
        </w:rPr>
      </w:pPr>
      <w:r w:rsidRPr="00245623">
        <w:rPr>
          <w:lang w:val="en-US"/>
        </w:rPr>
        <w:lastRenderedPageBreak/>
        <w:t>DW-MRS data were acquired in a VOI of 6 × 1.5 × 3 mm</w:t>
      </w:r>
      <w:r w:rsidRPr="00245623">
        <w:rPr>
          <w:vertAlign w:val="superscript"/>
          <w:lang w:val="en-US"/>
        </w:rPr>
        <w:t>3</w:t>
      </w:r>
      <w:r w:rsidRPr="00245623">
        <w:rPr>
          <w:lang w:val="en-US"/>
        </w:rPr>
        <w:t xml:space="preserve"> including the body of the corpus callosum (Figure </w:t>
      </w:r>
      <w:r w:rsidR="00021C24" w:rsidRPr="00245623">
        <w:rPr>
          <w:lang w:val="en-US"/>
        </w:rPr>
        <w:t>2</w:t>
      </w:r>
      <w:r w:rsidR="00EC5DFF" w:rsidRPr="00245623">
        <w:rPr>
          <w:lang w:val="en-US"/>
        </w:rPr>
        <w:t>A</w:t>
      </w:r>
      <w:r w:rsidRPr="00245623">
        <w:rPr>
          <w:lang w:val="en-US"/>
        </w:rPr>
        <w:t>)</w:t>
      </w:r>
      <w:r w:rsidR="0050178F" w:rsidRPr="00245623">
        <w:rPr>
          <w:lang w:val="en-US"/>
        </w:rPr>
        <w:t>, using a single-voxel stimulated echo (STE)-localization by adiabatic selective refocusing (LASER) sequence described previously</w:t>
      </w:r>
      <w:r w:rsidR="00E04962"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{"citationID":"MZhkopQE","properties":{"formattedCitation":"\\super 26\\nosupersub{}","plainCitation":"26","noteIndex":0},"citationItems":[{"id":323,"uris":["http://zotero.org/users/local/JiswOD7j/items/N9PUV4LJ"],"uri":["http://zotero.org/users/local/JiswOD7j/items/N9PUV4LJ"],"itemData":{"id":323,"type":"article-journal","abstract":"Purpose: To assess the potential correlation between metabolites diffusion and relaxation in the mouse brain, which is of importance for interpreting and modeling metabolite diffusion based on pure geometry, irrespective of relaxation properties (multicompartmental relaxation or surface relaxivity).\nMethods: A new diffusion-weighted magnetic resonance spectroscopy sequence is introduced, dubbed “STE-LASER,” which presents several nice properties, in particular the absence of cross-terms with selection gradients and a very clean localization. Metabolite diffusion is then measured in a large voxel in the mouse brain at 11.7 Tesla using a cryoprobe, resulting in excellent signal-to-noise ratio, up to very high b-values under different echo time, mixing time, and diffusion time combinations.\nResults: Our results suggest that the correlation between relaxation and diffusion properties is extremely small or even nonexistent for metabolites in the mouse brain.\nConclusion: The present work strongly supports the interpretation and modeling of metabolite diffusion primarily based on geometry, irrespective of relaxation properties, at least under current experimental conditions. Magn Reson Med 000:000–000, 2016. VC 2016 The Authors Magnetic Resonance in Medicine published by Wiley Periodicals, Inc. on behalf of International Society for Magnetic Resonance in Medicine. This is an open access article under the terms of the Creative Commons Attribution-NonCommercial-NoDerivs License, which permits use and distribution in any medium, provided the original work is properly cited, the use is non-commercial and no modifications or adaptations are made.","container-title":"Magnetic Resonance in Medicine","DOI":"10.1002/mrm.26217","ISSN":"07403194","issue":"4","language":"en","page":"1390-1398","source":"Crossref","title":"Metabolite diffusion up to very high &lt;i&gt;b&lt;/i&gt; in the mouse brain in vivo: Revisiting the potential correlation between relaxation and diffusion properties: Diffusion-Weighted MRS Applied in the Mouse Brain","title-short":"Metabolite diffusion up to very high &lt;i&gt;b&lt;/i&gt; in the mouse brain in vivo","volume":"77","author":[{"family":"Ligneul","given":"Clémence"},{"family":"Palombo","given":"Marco"},{"family":"Valette","given":"Julien"}],"issued":{"date-parts":[["2017",4]]}}}],"schema":"https://github.com/citation-style-language/schema/raw/master/csl-citation.json"} </w:instrText>
      </w:r>
      <w:r w:rsidR="00BA76C6" w:rsidRPr="00245623">
        <w:rPr>
          <w:lang w:val="en-US"/>
        </w:rPr>
        <w:fldChar w:fldCharType="separate"/>
      </w:r>
      <w:r w:rsidR="00AC7306" w:rsidRPr="00245623">
        <w:rPr>
          <w:vertAlign w:val="superscript"/>
          <w:lang w:val="en-US"/>
        </w:rPr>
        <w:t>26</w:t>
      </w:r>
      <w:r w:rsidR="00BA76C6" w:rsidRPr="00245623">
        <w:rPr>
          <w:lang w:val="en-US"/>
        </w:rPr>
        <w:fldChar w:fldCharType="end"/>
      </w:r>
      <w:r w:rsidR="00E04962" w:rsidRPr="00245623">
        <w:rPr>
          <w:lang w:val="en-US"/>
        </w:rPr>
        <w:t xml:space="preserve">. </w:t>
      </w:r>
      <w:r w:rsidR="009B549C" w:rsidRPr="00245623">
        <w:rPr>
          <w:lang w:val="en-US"/>
        </w:rPr>
        <w:t xml:space="preserve">In this sequence, the diffusion module is disentangled from the localization module, </w:t>
      </w:r>
      <w:r w:rsidR="00524133" w:rsidRPr="00245623">
        <w:rPr>
          <w:lang w:val="en-US"/>
        </w:rPr>
        <w:t>thus</w:t>
      </w:r>
      <w:r w:rsidR="009B549C" w:rsidRPr="00245623">
        <w:rPr>
          <w:lang w:val="en-US"/>
        </w:rPr>
        <w:t xml:space="preserve"> </w:t>
      </w:r>
      <w:r w:rsidR="00C4236E" w:rsidRPr="00245623">
        <w:rPr>
          <w:lang w:val="en-US"/>
        </w:rPr>
        <w:t>yielding</w:t>
      </w:r>
      <w:r w:rsidR="009B549C" w:rsidRPr="00245623">
        <w:rPr>
          <w:lang w:val="en-US"/>
        </w:rPr>
        <w:t xml:space="preserve"> </w:t>
      </w:r>
      <w:r w:rsidR="00C4236E" w:rsidRPr="00245623">
        <w:rPr>
          <w:lang w:val="en-US"/>
        </w:rPr>
        <w:t>no</w:t>
      </w:r>
      <w:r w:rsidR="009B549C" w:rsidRPr="00245623">
        <w:rPr>
          <w:lang w:val="en-US"/>
        </w:rPr>
        <w:t xml:space="preserve"> cross-terms </w:t>
      </w:r>
      <w:r w:rsidR="009B549C" w:rsidRPr="00245623">
        <w:rPr>
          <w:color w:val="000000" w:themeColor="text1"/>
          <w:lang w:val="en-US"/>
        </w:rPr>
        <w:t xml:space="preserve">between diffusion </w:t>
      </w:r>
      <w:r w:rsidR="00C4236E" w:rsidRPr="00245623">
        <w:rPr>
          <w:color w:val="000000" w:themeColor="text1"/>
          <w:lang w:val="en-US"/>
        </w:rPr>
        <w:t xml:space="preserve">and selection </w:t>
      </w:r>
      <w:r w:rsidR="009B549C" w:rsidRPr="00245623">
        <w:rPr>
          <w:color w:val="000000" w:themeColor="text1"/>
          <w:lang w:val="en-US"/>
        </w:rPr>
        <w:t>gradients</w:t>
      </w:r>
      <w:r w:rsidR="009B549C" w:rsidRPr="00245623">
        <w:rPr>
          <w:lang w:val="en-US"/>
        </w:rPr>
        <w:t>.</w:t>
      </w:r>
    </w:p>
    <w:p w14:paraId="010C59C3" w14:textId="413360BD" w:rsidR="008D5904" w:rsidRPr="00245623" w:rsidRDefault="00EE520D" w:rsidP="00B0286C">
      <w:pPr>
        <w:spacing w:line="480" w:lineRule="auto"/>
        <w:jc w:val="both"/>
        <w:rPr>
          <w:lang w:val="en-US"/>
        </w:rPr>
      </w:pPr>
      <w:r w:rsidRPr="00245623">
        <w:rPr>
          <w:lang w:val="en-US"/>
        </w:rPr>
        <w:t>The STE block consisted of three 90° pulse</w:t>
      </w:r>
      <w:r w:rsidR="00524133" w:rsidRPr="00245623">
        <w:rPr>
          <w:lang w:val="en-US"/>
        </w:rPr>
        <w:t>s</w:t>
      </w:r>
      <w:r w:rsidRPr="00245623">
        <w:rPr>
          <w:lang w:val="en-US"/>
        </w:rPr>
        <w:t xml:space="preserve"> (pulse length of 100 </w:t>
      </w:r>
      <w:proofErr w:type="spellStart"/>
      <w:r w:rsidRPr="00245623">
        <w:rPr>
          <w:lang w:val="en-US"/>
        </w:rPr>
        <w:t>μs</w:t>
      </w:r>
      <w:proofErr w:type="spellEnd"/>
      <w:r w:rsidRPr="00245623">
        <w:rPr>
          <w:lang w:val="en-US"/>
        </w:rPr>
        <w:t>)</w:t>
      </w:r>
      <w:r w:rsidR="004024EC" w:rsidRPr="00245623">
        <w:rPr>
          <w:lang w:val="en-US"/>
        </w:rPr>
        <w:t xml:space="preserve">, with </w:t>
      </w:r>
      <w:r w:rsidR="00524133" w:rsidRPr="00245623">
        <w:rPr>
          <w:lang w:val="en-US"/>
        </w:rPr>
        <w:t xml:space="preserve">de-phasing and re-phasing </w:t>
      </w:r>
      <w:r w:rsidR="004024EC" w:rsidRPr="00245623">
        <w:rPr>
          <w:lang w:val="en-US"/>
        </w:rPr>
        <w:t>diffusion gradients located</w:t>
      </w:r>
      <w:r w:rsidR="0050178F" w:rsidRPr="00245623">
        <w:rPr>
          <w:lang w:val="en-US"/>
        </w:rPr>
        <w:t xml:space="preserve"> before the second </w:t>
      </w:r>
      <w:r w:rsidR="001E646D" w:rsidRPr="00245623">
        <w:rPr>
          <w:lang w:val="en-US"/>
        </w:rPr>
        <w:t>90°</w:t>
      </w:r>
      <w:r w:rsidR="00FE00D9" w:rsidRPr="00245623">
        <w:rPr>
          <w:lang w:val="en-US"/>
        </w:rPr>
        <w:t xml:space="preserve"> </w:t>
      </w:r>
      <w:r w:rsidR="0050178F" w:rsidRPr="00245623">
        <w:rPr>
          <w:lang w:val="en-US"/>
        </w:rPr>
        <w:t xml:space="preserve">pulse and after the third </w:t>
      </w:r>
      <w:r w:rsidR="001E646D" w:rsidRPr="00245623">
        <w:rPr>
          <w:lang w:val="en-US"/>
        </w:rPr>
        <w:t>90°</w:t>
      </w:r>
      <w:r w:rsidR="00FE00D9" w:rsidRPr="00245623">
        <w:rPr>
          <w:lang w:val="en-US"/>
        </w:rPr>
        <w:t xml:space="preserve"> </w:t>
      </w:r>
      <w:r w:rsidR="0050178F" w:rsidRPr="00245623">
        <w:rPr>
          <w:lang w:val="en-US"/>
        </w:rPr>
        <w:t>pulse, respectively</w:t>
      </w:r>
      <w:r w:rsidRPr="00245623">
        <w:rPr>
          <w:lang w:val="en-US"/>
        </w:rPr>
        <w:t>. The LASER block consisted of a train of six slice-selective adiabatic 180° pulses (</w:t>
      </w:r>
      <w:r w:rsidR="004307B0" w:rsidRPr="00245623">
        <w:rPr>
          <w:lang w:val="en-US"/>
        </w:rPr>
        <w:t>10-kHz pulse bandwidth</w:t>
      </w:r>
      <w:r w:rsidRPr="00245623">
        <w:rPr>
          <w:lang w:val="en-US"/>
        </w:rPr>
        <w:t>). The sequence parameters were: T</w:t>
      </w:r>
      <w:r w:rsidRPr="00245623">
        <w:rPr>
          <w:vertAlign w:val="subscript"/>
          <w:lang w:val="en-US"/>
        </w:rPr>
        <w:t>E</w:t>
      </w:r>
      <w:r w:rsidRPr="00245623">
        <w:rPr>
          <w:lang w:val="en-US"/>
        </w:rPr>
        <w:t>/T</w:t>
      </w:r>
      <w:r w:rsidRPr="00245623">
        <w:rPr>
          <w:vertAlign w:val="subscript"/>
          <w:lang w:val="en-US"/>
        </w:rPr>
        <w:t>M</w:t>
      </w:r>
      <w:r w:rsidRPr="00245623">
        <w:rPr>
          <w:lang w:val="en-US"/>
        </w:rPr>
        <w:t xml:space="preserve"> = 33/60 ms</w:t>
      </w:r>
      <w:r w:rsidR="004024EC" w:rsidRPr="00245623">
        <w:rPr>
          <w:lang w:val="en-US"/>
        </w:rPr>
        <w:t>,</w:t>
      </w:r>
      <w:r w:rsidRPr="00245623">
        <w:rPr>
          <w:lang w:val="en-US"/>
        </w:rPr>
        <w:t xml:space="preserve"> T</w:t>
      </w:r>
      <w:r w:rsidRPr="00245623">
        <w:rPr>
          <w:vertAlign w:val="subscript"/>
          <w:lang w:val="en-US"/>
        </w:rPr>
        <w:t>R</w:t>
      </w:r>
      <w:r w:rsidRPr="00245623">
        <w:rPr>
          <w:lang w:val="en-US"/>
        </w:rPr>
        <w:t xml:space="preserve"> = 5</w:t>
      </w:r>
      <w:r w:rsidR="00EF395C" w:rsidRPr="00245623">
        <w:rPr>
          <w:lang w:val="en-US"/>
        </w:rPr>
        <w:t>000</w:t>
      </w:r>
      <w:r w:rsidRPr="00245623">
        <w:rPr>
          <w:lang w:val="en-US"/>
        </w:rPr>
        <w:t xml:space="preserve"> </w:t>
      </w:r>
      <w:r w:rsidR="00EF395C" w:rsidRPr="00245623">
        <w:rPr>
          <w:lang w:val="en-US"/>
        </w:rPr>
        <w:t>m</w:t>
      </w:r>
      <w:r w:rsidRPr="00245623">
        <w:rPr>
          <w:lang w:val="en-US"/>
        </w:rPr>
        <w:t>s</w:t>
      </w:r>
      <w:r w:rsidR="004024EC" w:rsidRPr="00245623">
        <w:rPr>
          <w:lang w:val="en-US"/>
        </w:rPr>
        <w:t>, spectral width = 5 kHz and number of complex points = 4096</w:t>
      </w:r>
      <w:r w:rsidRPr="00245623">
        <w:rPr>
          <w:lang w:val="en-US"/>
        </w:rPr>
        <w:t>. Diffusion-weighting was applied in three orthogonal directions ([1, 1, -0.5], [1, -0.5, 1], [-0.5, 1, 1] in the scanner coordinate system) with diffusion gradient duration = 3 ms, diffusion time</w:t>
      </w:r>
      <w:r w:rsidR="00D73BEA" w:rsidRPr="00245623">
        <w:rPr>
          <w:lang w:val="en-US"/>
        </w:rPr>
        <w:t xml:space="preserve"> t</w:t>
      </w:r>
      <w:r w:rsidR="00D73BEA" w:rsidRPr="00245623">
        <w:rPr>
          <w:vertAlign w:val="subscript"/>
          <w:lang w:val="en-US"/>
        </w:rPr>
        <w:t>d</w:t>
      </w:r>
      <w:r w:rsidRPr="00245623">
        <w:rPr>
          <w:lang w:val="en-US"/>
        </w:rPr>
        <w:t xml:space="preserve"> = 64 ms and three </w:t>
      </w:r>
      <w:r w:rsidR="007B1D35" w:rsidRPr="00245623">
        <w:rPr>
          <w:lang w:val="en-US"/>
        </w:rPr>
        <w:t xml:space="preserve">decreasing </w:t>
      </w:r>
      <w:r w:rsidRPr="00245623">
        <w:rPr>
          <w:lang w:val="en-US"/>
        </w:rPr>
        <w:t xml:space="preserve">gradient strengths resulting in the </w:t>
      </w:r>
      <w:r w:rsidRPr="00245623">
        <w:rPr>
          <w:i/>
          <w:lang w:val="en-US"/>
        </w:rPr>
        <w:t>b</w:t>
      </w:r>
      <w:r w:rsidRPr="00245623">
        <w:rPr>
          <w:lang w:val="en-US"/>
        </w:rPr>
        <w:t xml:space="preserve">-values </w:t>
      </w:r>
      <w:r w:rsidRPr="00245623">
        <w:rPr>
          <w:i/>
          <w:lang w:val="en-US"/>
        </w:rPr>
        <w:t>b</w:t>
      </w:r>
      <w:r w:rsidR="00B10159" w:rsidRPr="00245623">
        <w:rPr>
          <w:vertAlign w:val="subscript"/>
          <w:lang w:val="en-US"/>
        </w:rPr>
        <w:t>3</w:t>
      </w:r>
      <w:r w:rsidRPr="00245623">
        <w:rPr>
          <w:vertAlign w:val="subscript"/>
          <w:lang w:val="en-US"/>
        </w:rPr>
        <w:t xml:space="preserve"> </w:t>
      </w:r>
      <w:r w:rsidRPr="00245623">
        <w:rPr>
          <w:lang w:val="en-US"/>
        </w:rPr>
        <w:t xml:space="preserve">= </w:t>
      </w:r>
      <w:r w:rsidR="007B1D35" w:rsidRPr="00245623">
        <w:rPr>
          <w:lang w:val="en-US"/>
        </w:rPr>
        <w:t>6</w:t>
      </w:r>
      <w:r w:rsidRPr="00245623">
        <w:rPr>
          <w:lang w:val="en-US"/>
        </w:rPr>
        <w:t xml:space="preserve">, </w:t>
      </w:r>
      <w:r w:rsidRPr="00245623">
        <w:rPr>
          <w:i/>
          <w:lang w:val="en-US"/>
        </w:rPr>
        <w:t>b</w:t>
      </w:r>
      <w:r w:rsidRPr="00245623">
        <w:rPr>
          <w:vertAlign w:val="subscript"/>
          <w:lang w:val="en-US"/>
        </w:rPr>
        <w:t xml:space="preserve">2 </w:t>
      </w:r>
      <w:r w:rsidRPr="00245623">
        <w:rPr>
          <w:lang w:val="en-US"/>
        </w:rPr>
        <w:t xml:space="preserve">= 4 and </w:t>
      </w:r>
      <w:r w:rsidRPr="00245623">
        <w:rPr>
          <w:i/>
          <w:lang w:val="en-US"/>
        </w:rPr>
        <w:t>b</w:t>
      </w:r>
      <w:r w:rsidR="00B10159" w:rsidRPr="00245623">
        <w:rPr>
          <w:vertAlign w:val="subscript"/>
          <w:lang w:val="en-US"/>
        </w:rPr>
        <w:t>1</w:t>
      </w:r>
      <w:r w:rsidRPr="00245623">
        <w:rPr>
          <w:vertAlign w:val="subscript"/>
          <w:lang w:val="en-US"/>
        </w:rPr>
        <w:t xml:space="preserve"> </w:t>
      </w:r>
      <w:r w:rsidRPr="00245623">
        <w:rPr>
          <w:lang w:val="en-US"/>
        </w:rPr>
        <w:t>=</w:t>
      </w:r>
      <w:r w:rsidR="00B93B35" w:rsidRPr="00245623">
        <w:rPr>
          <w:color w:val="000000"/>
          <w:lang w:val="en-US"/>
        </w:rPr>
        <w:t xml:space="preserve"> </w:t>
      </w:r>
      <w:r w:rsidR="007B1D35" w:rsidRPr="00245623">
        <w:rPr>
          <w:color w:val="000000"/>
          <w:lang w:val="en-US"/>
        </w:rPr>
        <w:t>2</w:t>
      </w:r>
      <w:r w:rsidR="00B93B35" w:rsidRPr="00245623">
        <w:rPr>
          <w:color w:val="000000"/>
          <w:lang w:val="en-US"/>
        </w:rPr>
        <w:t xml:space="preserve"> ms/</w:t>
      </w:r>
      <w:r w:rsidR="00B93B35" w:rsidRPr="00245623">
        <w:rPr>
          <w:color w:val="000000"/>
          <w:lang w:val="en-US"/>
        </w:rPr>
        <w:sym w:font="Symbol" w:char="F06D"/>
      </w:r>
      <w:r w:rsidR="00B93B35" w:rsidRPr="00245623">
        <w:rPr>
          <w:color w:val="000000"/>
          <w:lang w:val="en-US"/>
        </w:rPr>
        <w:t>m</w:t>
      </w:r>
      <w:r w:rsidR="00B93B35" w:rsidRPr="00245623">
        <w:rPr>
          <w:color w:val="000000"/>
          <w:vertAlign w:val="superscript"/>
          <w:lang w:val="en-US"/>
        </w:rPr>
        <w:t>2</w:t>
      </w:r>
      <w:r w:rsidRPr="00245623">
        <w:rPr>
          <w:lang w:val="en-US"/>
        </w:rPr>
        <w:t xml:space="preserve">. A quasi-non-diffusion-weighted condition was also acquired with: </w:t>
      </w:r>
      <w:r w:rsidRPr="00245623">
        <w:rPr>
          <w:i/>
          <w:lang w:val="en-US"/>
        </w:rPr>
        <w:t>b</w:t>
      </w:r>
      <w:r w:rsidRPr="00245623">
        <w:rPr>
          <w:vertAlign w:val="subscript"/>
          <w:lang w:val="en-US"/>
        </w:rPr>
        <w:t xml:space="preserve">0 </w:t>
      </w:r>
      <w:r w:rsidRPr="00245623">
        <w:rPr>
          <w:lang w:val="en-US"/>
        </w:rPr>
        <w:t xml:space="preserve">= </w:t>
      </w:r>
      <w:r w:rsidR="00B93B35" w:rsidRPr="00245623">
        <w:rPr>
          <w:lang w:val="en-US"/>
        </w:rPr>
        <w:t>0.0</w:t>
      </w:r>
      <w:r w:rsidRPr="00245623">
        <w:rPr>
          <w:lang w:val="en-US"/>
        </w:rPr>
        <w:t xml:space="preserve">3 </w:t>
      </w:r>
      <w:r w:rsidR="00B93B35" w:rsidRPr="00245623">
        <w:rPr>
          <w:color w:val="000000"/>
          <w:lang w:val="en-US"/>
        </w:rPr>
        <w:t>ms/</w:t>
      </w:r>
      <w:r w:rsidR="00B93B35" w:rsidRPr="00245623">
        <w:rPr>
          <w:color w:val="000000"/>
          <w:lang w:val="en-US"/>
        </w:rPr>
        <w:sym w:font="Symbol" w:char="F06D"/>
      </w:r>
      <w:r w:rsidR="00B93B35" w:rsidRPr="00245623">
        <w:rPr>
          <w:color w:val="000000"/>
          <w:lang w:val="en-US"/>
        </w:rPr>
        <w:t>m</w:t>
      </w:r>
      <w:r w:rsidR="00B93B35" w:rsidRPr="00245623">
        <w:rPr>
          <w:color w:val="000000"/>
          <w:vertAlign w:val="superscript"/>
          <w:lang w:val="en-US"/>
        </w:rPr>
        <w:t>2</w:t>
      </w:r>
      <w:r w:rsidRPr="00245623">
        <w:rPr>
          <w:lang w:val="en-US"/>
        </w:rPr>
        <w:t>. Thirty-two averages were collected for each diffusion-weighted condition</w:t>
      </w:r>
      <w:r w:rsidR="007B1D35" w:rsidRPr="00245623">
        <w:rPr>
          <w:lang w:val="en-US"/>
        </w:rPr>
        <w:t xml:space="preserve"> (acquisition time per condition = 2.7 minutes, total acquisition time = 27 minutes)</w:t>
      </w:r>
      <w:r w:rsidRPr="00245623">
        <w:rPr>
          <w:lang w:val="en-US"/>
        </w:rPr>
        <w:t xml:space="preserve"> and saved as individual free induction decays for further processing. Water suppression was performed using variable power with optimized relaxation delays (VAPOR) and outer volume suppression</w:t>
      </w:r>
      <w:r w:rsidR="00075B64" w:rsidRPr="00245623">
        <w:rPr>
          <w:lang w:val="en-US"/>
        </w:rPr>
        <w:t xml:space="preserve"> </w:t>
      </w:r>
      <w:r w:rsidR="00BA76C6" w:rsidRPr="00245623">
        <w:rPr>
          <w:color w:val="231F20"/>
          <w:lang w:val="en-US"/>
        </w:rPr>
        <w:fldChar w:fldCharType="begin"/>
      </w:r>
      <w:r w:rsidR="00AC7306" w:rsidRPr="00245623">
        <w:rPr>
          <w:color w:val="231F20"/>
          <w:lang w:val="en-US"/>
        </w:rPr>
        <w:instrText xml:space="preserve"> ADDIN ZOTERO_ITEM CSL_CITATION {"citationID":"JJ7oHCOi","properties":{"formattedCitation":"\\super 27\\nosupersub{}","plainCitation":"27","noteIndex":0},"citationItems":[{"id":"yEIY31OZ/mJXnRoxf","uris":["http://zotero.org/users/local/ku01lkfR/items/5VZIICPE"],"uri":["http://zotero.org/users/local/ku01lkfR/items/5VZIICPE"],"itemData":{"id":84,"type":"article-journal","title":"In vivo &lt;sup&gt;1&lt;/sup&gt;H NMR spectroscopy of rat brain at 1 ms echo time","container-title":"Magnetic Resonance in Medicine","page":"649–656","volume":"41","author":[{"family":"Tkac","given":"Ivan"},{"family":"Starcuk","given":"Z"},{"family":"Choi","given":"I.-Y"},{"family":"Gruetter","given":"R"}],"issued":{"date-parts":[["1999"]]}}}],"schema":"https://github.com/citation-style-language/schema/raw/master/csl-citation.json"} </w:instrText>
      </w:r>
      <w:r w:rsidR="00BA76C6" w:rsidRPr="00245623">
        <w:rPr>
          <w:color w:val="231F20"/>
          <w:lang w:val="en-US"/>
        </w:rPr>
        <w:fldChar w:fldCharType="separate"/>
      </w:r>
      <w:r w:rsidR="00AC7306" w:rsidRPr="00245623">
        <w:rPr>
          <w:color w:val="000000"/>
          <w:vertAlign w:val="superscript"/>
          <w:lang w:val="en-US"/>
        </w:rPr>
        <w:t>27</w:t>
      </w:r>
      <w:r w:rsidR="00BA76C6" w:rsidRPr="00245623">
        <w:rPr>
          <w:color w:val="231F20"/>
          <w:lang w:val="en-US"/>
        </w:rPr>
        <w:fldChar w:fldCharType="end"/>
      </w:r>
      <w:r w:rsidRPr="00245623">
        <w:rPr>
          <w:lang w:val="en-US"/>
        </w:rPr>
        <w:t xml:space="preserve">. </w:t>
      </w:r>
      <w:r w:rsidR="00FE00D9" w:rsidRPr="00245623">
        <w:rPr>
          <w:lang w:val="en-US"/>
        </w:rPr>
        <w:t>For eddy current corrections</w:t>
      </w:r>
      <w:r w:rsidRPr="00245623">
        <w:rPr>
          <w:lang w:val="en-US"/>
        </w:rPr>
        <w:t xml:space="preserve">, unsuppressed water reference scans were acquired </w:t>
      </w:r>
      <w:r w:rsidR="003C3A93" w:rsidRPr="00245623">
        <w:rPr>
          <w:lang w:val="en-US"/>
        </w:rPr>
        <w:t xml:space="preserve">for each diffusion-weighted condition </w:t>
      </w:r>
      <w:r w:rsidRPr="00245623">
        <w:rPr>
          <w:lang w:val="en-US"/>
        </w:rPr>
        <w:t>using the same parameters as water suppressed spectra.</w:t>
      </w:r>
      <w:bookmarkStart w:id="4" w:name="_Toc23067513"/>
      <w:bookmarkEnd w:id="4"/>
      <w:r w:rsidR="00601741" w:rsidRPr="00245623">
        <w:rPr>
          <w:lang w:val="en-US"/>
        </w:rPr>
        <w:t xml:space="preserve"> </w:t>
      </w:r>
    </w:p>
    <w:p w14:paraId="16CF1613" w14:textId="77777777" w:rsidR="00EF37B1" w:rsidRPr="00245623" w:rsidRDefault="00EF37B1" w:rsidP="00814C06">
      <w:pPr>
        <w:pStyle w:val="Titre3"/>
        <w:spacing w:line="480" w:lineRule="auto"/>
        <w:jc w:val="both"/>
        <w:rPr>
          <w:rFonts w:ascii="Times New Roman" w:hAnsi="Times New Roman" w:cs="Times New Roman"/>
          <w:sz w:val="24"/>
          <w:szCs w:val="26"/>
        </w:rPr>
      </w:pPr>
    </w:p>
    <w:p w14:paraId="084ECA2C" w14:textId="3191FEA6" w:rsidR="00BE7097" w:rsidRPr="00245623" w:rsidRDefault="006B5E60" w:rsidP="00814C06">
      <w:pPr>
        <w:pStyle w:val="Titre3"/>
        <w:spacing w:line="480" w:lineRule="auto"/>
        <w:jc w:val="both"/>
        <w:rPr>
          <w:rFonts w:ascii="Times New Roman" w:hAnsi="Times New Roman" w:cs="Times New Roman"/>
          <w:szCs w:val="26"/>
        </w:rPr>
      </w:pPr>
      <w:r w:rsidRPr="00245623">
        <w:rPr>
          <w:rFonts w:ascii="Times New Roman" w:hAnsi="Times New Roman" w:cs="Times New Roman"/>
          <w:szCs w:val="26"/>
        </w:rPr>
        <w:t xml:space="preserve">2.5 </w:t>
      </w:r>
      <w:r w:rsidR="00EE520D" w:rsidRPr="00245623">
        <w:rPr>
          <w:rFonts w:ascii="Times New Roman" w:hAnsi="Times New Roman" w:cs="Times New Roman"/>
          <w:szCs w:val="26"/>
        </w:rPr>
        <w:t>Spectral processing</w:t>
      </w:r>
    </w:p>
    <w:p w14:paraId="5D0C4033" w14:textId="77C36787" w:rsidR="00E47D9F" w:rsidRPr="00245623" w:rsidRDefault="00EE520D" w:rsidP="00E47D9F">
      <w:pPr>
        <w:spacing w:line="480" w:lineRule="auto"/>
        <w:jc w:val="both"/>
        <w:rPr>
          <w:lang w:val="en-US"/>
        </w:rPr>
      </w:pPr>
      <w:r w:rsidRPr="00245623">
        <w:rPr>
          <w:lang w:val="en-US"/>
        </w:rPr>
        <w:t>All spectra were processed with an in-house written routine in MATLAB release R2016b (</w:t>
      </w:r>
      <w:proofErr w:type="spellStart"/>
      <w:r w:rsidRPr="00245623">
        <w:rPr>
          <w:lang w:val="en-US"/>
        </w:rPr>
        <w:t>Mathworks</w:t>
      </w:r>
      <w:proofErr w:type="spellEnd"/>
      <w:r w:rsidRPr="00245623">
        <w:rPr>
          <w:lang w:val="en-US"/>
        </w:rPr>
        <w:t>, Natick, MA, USA).</w:t>
      </w:r>
      <w:r w:rsidR="00814C06" w:rsidRPr="00245623">
        <w:rPr>
          <w:lang w:val="en-US"/>
        </w:rPr>
        <w:t xml:space="preserve"> Single spectra</w:t>
      </w:r>
      <w:r w:rsidRPr="00245623">
        <w:rPr>
          <w:lang w:val="en-US"/>
        </w:rPr>
        <w:t xml:space="preserve"> were first corrected for eddy currents using water reference scans. Zero-order phase fluctuations and frequency drifts were corrected on single averages before summation using an area minimization and penalty algorithm and a cross-correlation algorithm, respectively</w:t>
      </w:r>
      <w:r w:rsidR="00075B64"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{"citationID":"BVedz9fG","properties":{"formattedCitation":"\\super 28\\nosupersub{}","plainCitation":"28","noteIndex":0},"citationItems":[{"id":379,"uris":["http://zotero.org/users/local/JiswOD7j/items/NE5RE2HW"],"uri":["http://zotero.org/users/local/JiswOD7j/items/NE5RE2HW"],"itemData":{"id":379,"type":"article-journal","abstract":"In our attempt to fully automate the data acquisition and processing of NMR analysis of dissolved synthetic polymers, phase correction was found to be the most challenging aspect. Several approaches in literature were evaluated but none of these was found to be capable of phasing NMR spectra with sufﬁcient robustness and high enough accuracy to fully eliminate intervention by a human operator. Step by step, aspects from the process of manual/visual phase correction were translated into mathematical concepts and evaluated. This included area minimization, peak height maximization, negative peak minimization and baseline correction. It was found that not one single approach would lead to acceptable results but that a combination of aspects was required, in line again with the process of manual phase correction. The combination of baseline correction, area minimization and negative area penalization was found to give the desired results. The robustness was found to be 100% which means that the correct zeroth order and ﬁrst order phasing parameters are returned independent of the position of the starting point of the search in this parameter space. When applied to high signal-to-noise proton spectra, the accuracy was such that the returned phasing parameters were within a distance of 0.1–0.4 degrees in the two dimensional parameter space which resulted in an average error of 0.1% in calculated properties such as copolymer composition and end groups.","container-title":"Journal of Magnetic Resonance","DOI":"10.1016/j.jmr.2009.09.017","ISSN":"10907807","issue":"2","language":"en","page":"230-238","source":"Crossref","title":"Evaluation of algorithms for automated phase correction of NMR spectra","volume":"201","author":[{"family":"Brouwer","given":"Hans","non-dropping-particle":"de"}],"issued":{"date-parts":[["2009",12]]}}}],"schema":"https://github.com/citation-style-language/schema/raw/master/csl-citation.json"} </w:instrText>
      </w:r>
      <w:r w:rsidR="00BA76C6" w:rsidRPr="00245623">
        <w:rPr>
          <w:lang w:val="en-US"/>
        </w:rPr>
        <w:fldChar w:fldCharType="separate"/>
      </w:r>
      <w:bookmarkStart w:id="5" w:name="__Fieldmark__5595_2122895447"/>
      <w:bookmarkStart w:id="6" w:name="__Fieldmark__13244_283763394"/>
      <w:r w:rsidR="00AC7306" w:rsidRPr="00245623">
        <w:rPr>
          <w:vertAlign w:val="superscript"/>
          <w:lang w:val="en-US"/>
        </w:rPr>
        <w:t>28</w:t>
      </w:r>
      <w:r w:rsidR="00BA76C6" w:rsidRPr="00245623">
        <w:rPr>
          <w:lang w:val="en-US"/>
        </w:rPr>
        <w:fldChar w:fldCharType="end"/>
      </w:r>
      <w:bookmarkEnd w:id="5"/>
      <w:bookmarkEnd w:id="6"/>
      <w:r w:rsidRPr="00245623">
        <w:rPr>
          <w:lang w:val="en-US"/>
        </w:rPr>
        <w:t xml:space="preserve">. </w:t>
      </w:r>
      <w:r w:rsidR="00814C06" w:rsidRPr="00245623">
        <w:rPr>
          <w:lang w:val="en-US"/>
        </w:rPr>
        <w:t xml:space="preserve">For each </w:t>
      </w:r>
      <w:r w:rsidR="00814C06" w:rsidRPr="00245623">
        <w:rPr>
          <w:i/>
          <w:lang w:val="en-US"/>
        </w:rPr>
        <w:t>b</w:t>
      </w:r>
      <w:r w:rsidR="00814C06" w:rsidRPr="00245623">
        <w:rPr>
          <w:lang w:val="en-US"/>
        </w:rPr>
        <w:t>-value</w:t>
      </w:r>
      <w:r w:rsidR="008109E3" w:rsidRPr="00245623">
        <w:rPr>
          <w:lang w:val="en-US"/>
        </w:rPr>
        <w:t xml:space="preserve"> and diffusion-weighted direction</w:t>
      </w:r>
      <w:r w:rsidR="00814C06" w:rsidRPr="00245623">
        <w:rPr>
          <w:lang w:val="en-US"/>
        </w:rPr>
        <w:t>,</w:t>
      </w:r>
      <w:r w:rsidRPr="00245623">
        <w:rPr>
          <w:lang w:val="en-US"/>
        </w:rPr>
        <w:t xml:space="preserve"> spectra</w:t>
      </w:r>
      <w:r w:rsidR="00814C06" w:rsidRPr="00245623">
        <w:rPr>
          <w:lang w:val="en-US"/>
        </w:rPr>
        <w:t xml:space="preserve"> </w:t>
      </w:r>
      <w:r w:rsidRPr="00245623">
        <w:rPr>
          <w:lang w:val="en-US"/>
        </w:rPr>
        <w:t>were</w:t>
      </w:r>
      <w:r w:rsidR="00814C06" w:rsidRPr="00245623">
        <w:rPr>
          <w:lang w:val="en-US"/>
        </w:rPr>
        <w:t xml:space="preserve"> </w:t>
      </w:r>
      <w:r w:rsidRPr="00245623">
        <w:rPr>
          <w:lang w:val="en-US"/>
        </w:rPr>
        <w:t>averaged</w:t>
      </w:r>
      <w:r w:rsidR="00814C06" w:rsidRPr="00245623">
        <w:rPr>
          <w:lang w:val="en-US"/>
        </w:rPr>
        <w:t xml:space="preserve"> </w:t>
      </w:r>
      <w:r w:rsidR="00814C06" w:rsidRPr="00245623">
        <w:rPr>
          <w:lang w:val="en-US"/>
        </w:rPr>
        <w:lastRenderedPageBreak/>
        <w:t xml:space="preserve">and </w:t>
      </w:r>
      <w:r w:rsidR="008109E3" w:rsidRPr="00245623">
        <w:rPr>
          <w:lang w:val="en-US"/>
        </w:rPr>
        <w:t>subsequently</w:t>
      </w:r>
      <w:r w:rsidR="00CC679C" w:rsidRPr="00245623">
        <w:rPr>
          <w:lang w:val="en-US"/>
        </w:rPr>
        <w:t xml:space="preserve"> analyzed</w:t>
      </w:r>
      <w:r w:rsidRPr="00245623">
        <w:rPr>
          <w:lang w:val="en-US"/>
        </w:rPr>
        <w:t xml:space="preserve"> </w:t>
      </w:r>
      <w:r w:rsidR="00CC679C" w:rsidRPr="00245623">
        <w:rPr>
          <w:lang w:val="en-US"/>
        </w:rPr>
        <w:t>using</w:t>
      </w:r>
      <w:r w:rsidRPr="00245623">
        <w:rPr>
          <w:lang w:val="en-US"/>
        </w:rPr>
        <w:t xml:space="preserve"> LCModel</w:t>
      </w:r>
      <w:r w:rsidR="00075B64"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{"citationID":"0Kpehfq9","properties":{"formattedCitation":"\\super 29\\nosupersub{}","plainCitation":"29","noteIndex":0},"citationItems":[{"id":"yEIY31OZ/wMKiPFDN","uris":["http://zotero.org/users/local/ku01lkfR/items/4AXKMXD9"],"uri":["http://zotero.org/users/local/ku01lkfR/items/4AXKMXD9"],"itemData":{"id":101,"type":"article-journal","title":"Estimation of metabolite concentrations from localized in vivo proton NMR spectra","container-title":"Magnetic resonance in medicine","page":"672–679","volume":"30","issue":"6","source":"Google Scholar","author":[{"family":"Provencher","given":"Stephen W."}],"issued":{"date-parts":[["1993"]]}}}],"schema":"https://github.com/citation-style-language/schema/raw/master/csl-citation.json"} </w:instrText>
      </w:r>
      <w:r w:rsidR="00BA76C6" w:rsidRPr="00245623">
        <w:rPr>
          <w:lang w:val="en-US"/>
        </w:rPr>
        <w:fldChar w:fldCharType="separate"/>
      </w:r>
      <w:bookmarkStart w:id="7" w:name="__Fieldmark__5602_2122895447"/>
      <w:bookmarkStart w:id="8" w:name="__Fieldmark__13252_283763394"/>
      <w:r w:rsidR="00AC7306" w:rsidRPr="00245623">
        <w:rPr>
          <w:vertAlign w:val="superscript"/>
          <w:lang w:val="en-US"/>
        </w:rPr>
        <w:t>29</w:t>
      </w:r>
      <w:r w:rsidR="00BA76C6" w:rsidRPr="00245623">
        <w:rPr>
          <w:lang w:val="en-US"/>
        </w:rPr>
        <w:fldChar w:fldCharType="end"/>
      </w:r>
      <w:bookmarkEnd w:id="7"/>
      <w:bookmarkEnd w:id="8"/>
      <w:r w:rsidRPr="00245623">
        <w:rPr>
          <w:lang w:val="en-US"/>
        </w:rPr>
        <w:t xml:space="preserve"> for metabolite quantification</w:t>
      </w:r>
      <w:r w:rsidR="00AD51B8" w:rsidRPr="00245623">
        <w:rPr>
          <w:lang w:val="en-US"/>
        </w:rPr>
        <w:t xml:space="preserve">. </w:t>
      </w:r>
      <w:r w:rsidR="00AC7306" w:rsidRPr="00245623">
        <w:rPr>
          <w:lang w:val="en-US"/>
        </w:rPr>
        <w:t>The basis set was generated with home-made MATLAB routines based on the density matrix formalism, using chemical shifts and J-couplings previously reported</w:t>
      </w:r>
      <w:r w:rsidR="00AC7306" w:rsidRPr="00245623">
        <w:rPr>
          <w:lang w:val="en-US"/>
        </w:rPr>
        <w:fldChar w:fldCharType="begin"/>
      </w:r>
      <w:r w:rsidR="00AC7306" w:rsidRPr="00245623">
        <w:rPr>
          <w:lang w:val="en-US"/>
        </w:rPr>
        <w:instrText xml:space="preserve"> ADDIN ZOTERO_ITEM CSL_CITATION {"citationID":"jeyA38rL","properties":{"formattedCitation":"\\super 30\\nosupersub{}","plainCitation":"30","noteIndex":0},"citationItems":[{"id":188,"uris":["http://zotero.org/users/local/JiswOD7j/items/64YCGRUJ"],"uri":["http://zotero.org/users/local/JiswOD7j/items/64YCGRUJ"],"itemData":{"id":188,"type":"article-journal","container-title":"NMR in Biomedicine","page":"129-153","title":"Proton NMR chemical shifts and coupling constants for brain metabolites","volume":"13","author":[{"family":"Govindaraju","given":"Varanavasi"},{"family":"Young","given":"Karl"},{"family":"Maudsley","given":"Andrew A."}],"issued":{"date-parts":[["2000",1]]}}}],"schema":"https://github.com/citation-style-language/schema/raw/master/csl-citation.json"} </w:instrText>
      </w:r>
      <w:r w:rsidR="00AC7306" w:rsidRPr="00245623">
        <w:rPr>
          <w:lang w:val="en-US"/>
        </w:rPr>
        <w:fldChar w:fldCharType="separate"/>
      </w:r>
      <w:r w:rsidR="00AC7306" w:rsidRPr="00245623">
        <w:rPr>
          <w:vertAlign w:val="superscript"/>
          <w:lang w:val="en-US"/>
        </w:rPr>
        <w:t>30</w:t>
      </w:r>
      <w:r w:rsidR="00AC7306" w:rsidRPr="00245623">
        <w:rPr>
          <w:lang w:val="en-US"/>
        </w:rPr>
        <w:fldChar w:fldCharType="end"/>
      </w:r>
      <w:r w:rsidR="00AC7306" w:rsidRPr="00245623">
        <w:rPr>
          <w:lang w:val="en-US"/>
        </w:rPr>
        <w:t xml:space="preserve">. </w:t>
      </w:r>
      <w:r w:rsidRPr="00245623">
        <w:rPr>
          <w:lang w:val="en-US"/>
        </w:rPr>
        <w:t xml:space="preserve">The basis set included alanine, ascorbate, aspartate, </w:t>
      </w:r>
      <w:r w:rsidR="00B83F7D" w:rsidRPr="00245623">
        <w:rPr>
          <w:lang w:val="en-US"/>
        </w:rPr>
        <w:t>Cr</w:t>
      </w:r>
      <w:r w:rsidRPr="00245623">
        <w:rPr>
          <w:lang w:val="en-US"/>
        </w:rPr>
        <w:t>, γ-aminobutyric acid, glucose, glycine,</w:t>
      </w:r>
      <w:r w:rsidR="00FB2865" w:rsidRPr="00245623">
        <w:rPr>
          <w:lang w:val="en-US"/>
        </w:rPr>
        <w:t xml:space="preserve"> </w:t>
      </w:r>
      <w:proofErr w:type="spellStart"/>
      <w:r w:rsidR="005C7760" w:rsidRPr="00245623">
        <w:rPr>
          <w:lang w:val="en-US"/>
        </w:rPr>
        <w:t>Glu</w:t>
      </w:r>
      <w:proofErr w:type="spellEnd"/>
      <w:r w:rsidRPr="00245623">
        <w:rPr>
          <w:lang w:val="en-US"/>
        </w:rPr>
        <w:t xml:space="preserve">, glutamine, glutathione, </w:t>
      </w:r>
      <w:proofErr w:type="spellStart"/>
      <w:r w:rsidRPr="00245623">
        <w:rPr>
          <w:lang w:val="en-US"/>
        </w:rPr>
        <w:t>glycerophosphorylcholine</w:t>
      </w:r>
      <w:proofErr w:type="spellEnd"/>
      <w:r w:rsidR="004F103E" w:rsidRPr="00245623">
        <w:rPr>
          <w:lang w:val="en-US"/>
        </w:rPr>
        <w:t xml:space="preserve"> (GPC)</w:t>
      </w:r>
      <w:r w:rsidRPr="00245623">
        <w:rPr>
          <w:lang w:val="en-US"/>
        </w:rPr>
        <w:t xml:space="preserve">, </w:t>
      </w:r>
      <w:proofErr w:type="spellStart"/>
      <w:r w:rsidRPr="00245623">
        <w:rPr>
          <w:lang w:val="en-US"/>
        </w:rPr>
        <w:t>mIns</w:t>
      </w:r>
      <w:proofErr w:type="spellEnd"/>
      <w:r w:rsidRPr="00245623">
        <w:rPr>
          <w:lang w:val="en-US"/>
        </w:rPr>
        <w:t xml:space="preserve">, lactate, </w:t>
      </w:r>
      <w:r w:rsidR="00B83F7D" w:rsidRPr="00245623">
        <w:rPr>
          <w:i/>
          <w:lang w:val="en-US"/>
        </w:rPr>
        <w:t>N</w:t>
      </w:r>
      <w:r w:rsidR="00582EA6" w:rsidRPr="00245623">
        <w:rPr>
          <w:lang w:val="en-US"/>
        </w:rPr>
        <w:t>-</w:t>
      </w:r>
      <w:proofErr w:type="spellStart"/>
      <w:r w:rsidR="00582EA6" w:rsidRPr="00245623">
        <w:rPr>
          <w:lang w:val="en-US"/>
        </w:rPr>
        <w:t>acetylaspartate</w:t>
      </w:r>
      <w:proofErr w:type="spellEnd"/>
      <w:r w:rsidRPr="00245623">
        <w:rPr>
          <w:lang w:val="en-US"/>
        </w:rPr>
        <w:t xml:space="preserve">, </w:t>
      </w:r>
      <w:r w:rsidRPr="00245623">
        <w:rPr>
          <w:i/>
          <w:lang w:val="en-US"/>
        </w:rPr>
        <w:t>N</w:t>
      </w:r>
      <w:r w:rsidR="00CC679C" w:rsidRPr="00245623">
        <w:rPr>
          <w:lang w:val="en-US"/>
        </w:rPr>
        <w:t>-</w:t>
      </w:r>
      <w:proofErr w:type="spellStart"/>
      <w:r w:rsidR="00CC679C" w:rsidRPr="00245623">
        <w:rPr>
          <w:lang w:val="en-US"/>
        </w:rPr>
        <w:t>acetylaspartylglutamate</w:t>
      </w:r>
      <w:proofErr w:type="spellEnd"/>
      <w:r w:rsidRPr="00245623">
        <w:rPr>
          <w:lang w:val="en-US"/>
        </w:rPr>
        <w:t>,</w:t>
      </w:r>
      <w:r w:rsidR="008679E7" w:rsidRPr="00245623">
        <w:rPr>
          <w:lang w:val="en-US"/>
        </w:rPr>
        <w:t xml:space="preserve"> phosphocholine</w:t>
      </w:r>
      <w:r w:rsidR="004F103E" w:rsidRPr="00245623">
        <w:rPr>
          <w:lang w:val="en-US"/>
        </w:rPr>
        <w:t xml:space="preserve"> (</w:t>
      </w:r>
      <w:proofErr w:type="spellStart"/>
      <w:r w:rsidR="004F103E" w:rsidRPr="00245623">
        <w:rPr>
          <w:lang w:val="en-US"/>
        </w:rPr>
        <w:t>PCho</w:t>
      </w:r>
      <w:proofErr w:type="spellEnd"/>
      <w:r w:rsidR="004F103E" w:rsidRPr="00245623">
        <w:rPr>
          <w:lang w:val="en-US"/>
        </w:rPr>
        <w:t>)</w:t>
      </w:r>
      <w:r w:rsidR="008679E7" w:rsidRPr="00245623">
        <w:rPr>
          <w:lang w:val="en-US"/>
        </w:rPr>
        <w:t>,</w:t>
      </w:r>
      <w:r w:rsidR="0059336B" w:rsidRPr="00245623">
        <w:rPr>
          <w:lang w:val="en-US"/>
        </w:rPr>
        <w:t xml:space="preserve"> </w:t>
      </w:r>
      <w:proofErr w:type="spellStart"/>
      <w:r w:rsidR="00B83F7D" w:rsidRPr="00245623">
        <w:rPr>
          <w:lang w:val="en-US"/>
        </w:rPr>
        <w:t>PCr</w:t>
      </w:r>
      <w:proofErr w:type="spellEnd"/>
      <w:r w:rsidRPr="00245623">
        <w:rPr>
          <w:lang w:val="en-US"/>
        </w:rPr>
        <w:t xml:space="preserve">, </w:t>
      </w:r>
      <w:proofErr w:type="spellStart"/>
      <w:r w:rsidRPr="00245623">
        <w:rPr>
          <w:lang w:val="en-US"/>
        </w:rPr>
        <w:t>phosphorylethanolamine</w:t>
      </w:r>
      <w:proofErr w:type="spellEnd"/>
      <w:r w:rsidRPr="00245623">
        <w:rPr>
          <w:lang w:val="en-US"/>
        </w:rPr>
        <w:t xml:space="preserve">, </w:t>
      </w:r>
      <w:proofErr w:type="spellStart"/>
      <w:r w:rsidRPr="00245623">
        <w:rPr>
          <w:i/>
          <w:lang w:val="en-US"/>
        </w:rPr>
        <w:t>scyllo</w:t>
      </w:r>
      <w:proofErr w:type="spellEnd"/>
      <w:r w:rsidRPr="00245623">
        <w:rPr>
          <w:lang w:val="en-US"/>
        </w:rPr>
        <w:t>-inositol, taurine</w:t>
      </w:r>
      <w:r w:rsidR="005C7760" w:rsidRPr="00245623">
        <w:rPr>
          <w:lang w:val="en-US"/>
        </w:rPr>
        <w:t xml:space="preserve"> (Tau)</w:t>
      </w:r>
      <w:r w:rsidRPr="00245623">
        <w:rPr>
          <w:lang w:val="en-US"/>
        </w:rPr>
        <w:t xml:space="preserve">, threonine and </w:t>
      </w:r>
      <w:r w:rsidR="004B30E7" w:rsidRPr="00245623">
        <w:rPr>
          <w:lang w:val="en-US"/>
        </w:rPr>
        <w:t xml:space="preserve">experimentally measured </w:t>
      </w:r>
      <w:r w:rsidRPr="00245623">
        <w:rPr>
          <w:lang w:val="en-US"/>
        </w:rPr>
        <w:t>macromolecules.</w:t>
      </w:r>
      <w:r w:rsidR="008306AC" w:rsidRPr="00245623">
        <w:rPr>
          <w:lang w:val="en-US"/>
        </w:rPr>
        <w:t xml:space="preserve"> </w:t>
      </w:r>
      <w:r w:rsidR="00E47D9F" w:rsidRPr="00245623">
        <w:rPr>
          <w:lang w:val="en-AU"/>
        </w:rPr>
        <w:t xml:space="preserve">The macromolecule spectrum was acquired for a previous study </w:t>
      </w:r>
      <w:r w:rsidR="00E47D9F" w:rsidRPr="00245623">
        <w:rPr>
          <w:color w:val="000000" w:themeColor="text1"/>
          <w:lang w:val="en-US"/>
        </w:rPr>
        <w:fldChar w:fldCharType="begin"/>
      </w:r>
      <w:r w:rsidR="00E47D9F" w:rsidRPr="00245623">
        <w:rPr>
          <w:color w:val="000000" w:themeColor="text1"/>
          <w:lang w:val="en-US"/>
        </w:rPr>
        <w:instrText xml:space="preserve"> ADDIN ZOTERO_ITEM CSL_CITATION {"citationID":"aDA9IFQU","properties":{"formattedCitation":"\\super 19\\nosupersub{}","plainCitation":"19","noteIndex":0},"citationItems":[{"id":399,"uris":["http://zotero.org/users/local/JiswOD7j/items/4Q7K2TN7"],"uri":["http://zotero.org/users/local/JiswOD7j/items/4Q7K2TN7"],"itemData":{"id":399,"type":"article-journal","abstract":"Reactive astrocytes exhibit hypertrophic morphology and altered metabolism. Deciphering astrocytic status would be of great importance to understand their role and dysregulation in pathologies, but most analytical methods remain highly invasive or destructive. The diffusion of brain metabolites, as non-invasively measured using diffusion-weighted magnetic resonance spectroscopy (DW-MRS) in vivo, depends on the structure of their micro-environment. Here we perform advanced DW-MRS in a mouse model of reactive astrocytes to determine how cellular compartments conﬁning metabolite diffusion are changing. This reveals myo-inositol as a speciﬁc intraastrocytic marker whose diffusion closely reﬂects astrocytic morphology, enabling non-invasive detection of astrocyte hypertrophy (subsequently conﬁrmed by confocal microscopy ex vivo). Furthermore, we measure massive variations of lactate diffusion properties, suggesting that intracellular lactate is predominantly astrocytic under control conditions, but predominantly neuronal in case of astrocyte reactivity. This indicates massive remodeling of lactate metabolism, as lactate compartmentation is tightly linked to the astrocyte-to-neuron lactate shuttle mechanism.","container-title":"NeuroImage","DOI":"10.1016/j.neuroimage.2019.02.046","ISSN":"10538119","language":"en","page":"457-469","source":"Crossref","title":"Diffusion-weighted magnetic resonance spectroscopy enables cell-specific monitoring of astrocyte reactivity in vivo","volume":"191","author":[{"family":"Ligneul","given":"Clémence"},{"family":"Palombo","given":"Marco"},{"family":"Hernández-Garzón","given":"Edwin"},{"family":"Carrillo-de Sauvage","given":"María-Angeles"},{"family":"Flament","given":"Julien"},{"family":"Hantraye","given":"Philippe"},{"family":"Brouillet","given":"Emmanuel"},{"family":"Bonvento","given":"Gilles"},{"family":"Escartin","given":"Carole"},{"family":"Valette","given":"Julien"}],"issued":{"date-parts":[["2019",5]]}}}],"schema":"https://github.com/citation-style-language/schema/raw/master/csl-citation.json"} </w:instrText>
      </w:r>
      <w:r w:rsidR="00E47D9F" w:rsidRPr="00245623">
        <w:rPr>
          <w:color w:val="000000" w:themeColor="text1"/>
          <w:lang w:val="en-US"/>
        </w:rPr>
        <w:fldChar w:fldCharType="separate"/>
      </w:r>
      <w:r w:rsidR="00E47D9F" w:rsidRPr="00245623">
        <w:rPr>
          <w:color w:val="000000"/>
          <w:vertAlign w:val="superscript"/>
          <w:lang w:val="en-US"/>
        </w:rPr>
        <w:t>19</w:t>
      </w:r>
      <w:r w:rsidR="00E47D9F" w:rsidRPr="00245623">
        <w:rPr>
          <w:color w:val="000000" w:themeColor="text1"/>
          <w:lang w:val="en-US"/>
        </w:rPr>
        <w:fldChar w:fldCharType="end"/>
      </w:r>
      <w:r w:rsidR="00E47D9F" w:rsidRPr="00245623">
        <w:rPr>
          <w:lang w:val="en-AU"/>
        </w:rPr>
        <w:t xml:space="preserve"> in ten control mice using a double inversion recovery (T</w:t>
      </w:r>
      <w:r w:rsidR="00E47D9F" w:rsidRPr="00245623">
        <w:rPr>
          <w:vertAlign w:val="subscript"/>
          <w:lang w:val="en-AU"/>
        </w:rPr>
        <w:t xml:space="preserve">I1 </w:t>
      </w:r>
      <w:r w:rsidR="00E47D9F" w:rsidRPr="00245623">
        <w:rPr>
          <w:lang w:val="en-AU"/>
        </w:rPr>
        <w:t>= 2200 ms, T</w:t>
      </w:r>
      <w:r w:rsidR="00E47D9F" w:rsidRPr="00245623">
        <w:rPr>
          <w:vertAlign w:val="subscript"/>
          <w:lang w:val="en-AU"/>
        </w:rPr>
        <w:t xml:space="preserve">I2 </w:t>
      </w:r>
      <w:r w:rsidR="00E47D9F" w:rsidRPr="00245623">
        <w:rPr>
          <w:lang w:val="en-AU"/>
        </w:rPr>
        <w:t>= 730 ms) STE-LASER sequence (T</w:t>
      </w:r>
      <w:r w:rsidR="00E47D9F" w:rsidRPr="00245623">
        <w:rPr>
          <w:vertAlign w:val="subscript"/>
          <w:lang w:val="en-AU"/>
        </w:rPr>
        <w:t xml:space="preserve">E </w:t>
      </w:r>
      <w:r w:rsidR="00E47D9F" w:rsidRPr="00245623">
        <w:rPr>
          <w:lang w:val="en-AU"/>
        </w:rPr>
        <w:t>= 33 ms, T</w:t>
      </w:r>
      <w:r w:rsidR="00E47D9F" w:rsidRPr="00245623">
        <w:rPr>
          <w:vertAlign w:val="subscript"/>
          <w:lang w:val="en-AU"/>
        </w:rPr>
        <w:t xml:space="preserve">M </w:t>
      </w:r>
      <w:r w:rsidR="00E47D9F" w:rsidRPr="00245623">
        <w:rPr>
          <w:lang w:val="en-AU"/>
        </w:rPr>
        <w:t>= 50 ms, T</w:t>
      </w:r>
      <w:r w:rsidR="00E47D9F" w:rsidRPr="00245623">
        <w:rPr>
          <w:vertAlign w:val="subscript"/>
          <w:lang w:val="en-AU"/>
        </w:rPr>
        <w:t xml:space="preserve">R </w:t>
      </w:r>
      <w:r w:rsidR="00E47D9F" w:rsidRPr="00245623">
        <w:rPr>
          <w:lang w:val="en-AU"/>
        </w:rPr>
        <w:t xml:space="preserve">= 4000 ms, 256 averages), with a </w:t>
      </w:r>
      <w:r w:rsidR="00E47D9F" w:rsidRPr="00245623">
        <w:rPr>
          <w:i/>
          <w:lang w:val="en-AU"/>
        </w:rPr>
        <w:t>b</w:t>
      </w:r>
      <w:r w:rsidR="00E47D9F" w:rsidRPr="00245623">
        <w:rPr>
          <w:lang w:val="en-AU"/>
        </w:rPr>
        <w:t>-value = 10 ms/µm</w:t>
      </w:r>
      <w:r w:rsidR="00E47D9F" w:rsidRPr="00245623">
        <w:rPr>
          <w:vertAlign w:val="superscript"/>
          <w:lang w:val="en-AU"/>
        </w:rPr>
        <w:t>2</w:t>
      </w:r>
      <w:r w:rsidR="00E47D9F" w:rsidRPr="00245623">
        <w:rPr>
          <w:lang w:val="en-AU"/>
        </w:rPr>
        <w:t xml:space="preserve"> to reduce residual metabolite peaks. </w:t>
      </w:r>
      <w:r w:rsidR="00E47D9F" w:rsidRPr="00245623">
        <w:rPr>
          <w:lang w:val="en-US"/>
        </w:rPr>
        <w:t xml:space="preserve">The macromolecule spectrum was corrected in order to remove the residuals of positive </w:t>
      </w:r>
      <w:proofErr w:type="spellStart"/>
      <w:r w:rsidR="00E47D9F" w:rsidRPr="00245623">
        <w:rPr>
          <w:lang w:val="en-US"/>
        </w:rPr>
        <w:t>tCr</w:t>
      </w:r>
      <w:proofErr w:type="spellEnd"/>
      <w:r w:rsidR="00E47D9F" w:rsidRPr="00245623">
        <w:rPr>
          <w:lang w:val="en-US"/>
        </w:rPr>
        <w:t xml:space="preserve"> signals and negative Tau signals, by subtracting Lorentzian peaks. The final macromolecule spectrum was obtained by averaging the spectra from the ten mice (2560 averages in total).</w:t>
      </w:r>
    </w:p>
    <w:p w14:paraId="3492016E" w14:textId="77777777" w:rsidR="00B0286C" w:rsidRPr="00245623" w:rsidRDefault="00B0286C" w:rsidP="00433FAA">
      <w:pPr>
        <w:pStyle w:val="Titre3"/>
        <w:spacing w:line="480" w:lineRule="auto"/>
        <w:jc w:val="both"/>
        <w:rPr>
          <w:rFonts w:ascii="Times New Roman" w:hAnsi="Times New Roman" w:cs="Times New Roman"/>
          <w:sz w:val="24"/>
          <w:szCs w:val="26"/>
        </w:rPr>
      </w:pPr>
      <w:bookmarkStart w:id="9" w:name="_Toc23067514"/>
      <w:bookmarkEnd w:id="9"/>
    </w:p>
    <w:p w14:paraId="604DA131" w14:textId="57145341" w:rsidR="00BE7097" w:rsidRPr="00245623" w:rsidRDefault="006B5E60" w:rsidP="00433FAA">
      <w:pPr>
        <w:pStyle w:val="Titre3"/>
        <w:spacing w:line="480" w:lineRule="auto"/>
        <w:jc w:val="both"/>
        <w:rPr>
          <w:rFonts w:ascii="Times New Roman" w:hAnsi="Times New Roman" w:cs="Times New Roman"/>
          <w:szCs w:val="26"/>
        </w:rPr>
      </w:pPr>
      <w:r w:rsidRPr="00245623">
        <w:rPr>
          <w:rFonts w:ascii="Times New Roman" w:hAnsi="Times New Roman" w:cs="Times New Roman"/>
          <w:szCs w:val="26"/>
        </w:rPr>
        <w:t xml:space="preserve">2.6 </w:t>
      </w:r>
      <w:r w:rsidR="00EE520D" w:rsidRPr="00245623">
        <w:rPr>
          <w:rFonts w:ascii="Times New Roman" w:hAnsi="Times New Roman" w:cs="Times New Roman"/>
          <w:szCs w:val="26"/>
        </w:rPr>
        <w:t xml:space="preserve">Metabolite diffusion </w:t>
      </w:r>
      <w:r w:rsidR="005658E8" w:rsidRPr="00245623">
        <w:rPr>
          <w:rFonts w:ascii="Times New Roman" w:hAnsi="Times New Roman" w:cs="Times New Roman"/>
          <w:szCs w:val="26"/>
        </w:rPr>
        <w:t xml:space="preserve">and concentration </w:t>
      </w:r>
      <w:r w:rsidR="00EE520D" w:rsidRPr="00245623">
        <w:rPr>
          <w:rFonts w:ascii="Times New Roman" w:hAnsi="Times New Roman" w:cs="Times New Roman"/>
          <w:szCs w:val="26"/>
        </w:rPr>
        <w:t>measures</w:t>
      </w:r>
    </w:p>
    <w:p w14:paraId="3FB85AD5" w14:textId="035F2DDC" w:rsidR="002B1791" w:rsidRPr="00245623" w:rsidRDefault="000972EC" w:rsidP="005658E8">
      <w:pPr>
        <w:tabs>
          <w:tab w:val="left" w:pos="709"/>
          <w:tab w:val="left" w:pos="5077"/>
        </w:tabs>
        <w:spacing w:line="480" w:lineRule="auto"/>
        <w:jc w:val="both"/>
        <w:rPr>
          <w:i/>
          <w:color w:val="000000" w:themeColor="text1"/>
          <w:lang w:val="en-US"/>
        </w:rPr>
      </w:pPr>
      <w:r w:rsidRPr="00245623">
        <w:rPr>
          <w:lang w:val="en-US"/>
        </w:rPr>
        <w:t>T</w:t>
      </w:r>
      <w:r w:rsidR="00EE520D" w:rsidRPr="00245623">
        <w:rPr>
          <w:lang w:val="en-US"/>
        </w:rPr>
        <w:t xml:space="preserve">he </w:t>
      </w:r>
      <w:r w:rsidR="008F7F6A" w:rsidRPr="00245623">
        <w:rPr>
          <w:lang w:val="en-US"/>
        </w:rPr>
        <w:t>ADC</w:t>
      </w:r>
      <w:r w:rsidR="008109E3" w:rsidRPr="00245623">
        <w:rPr>
          <w:lang w:val="en-US"/>
        </w:rPr>
        <w:t>s</w:t>
      </w:r>
      <w:r w:rsidR="00787C76" w:rsidRPr="00245623">
        <w:rPr>
          <w:lang w:val="en-US"/>
        </w:rPr>
        <w:t xml:space="preserve"> of</w:t>
      </w:r>
      <w:r w:rsidR="00EE520D" w:rsidRPr="00245623">
        <w:rPr>
          <w:i/>
          <w:lang w:val="en-US"/>
        </w:rPr>
        <w:t xml:space="preserve"> </w:t>
      </w:r>
      <w:proofErr w:type="spellStart"/>
      <w:r w:rsidR="00EE520D" w:rsidRPr="00245623">
        <w:rPr>
          <w:lang w:val="en-US"/>
        </w:rPr>
        <w:t>mIns</w:t>
      </w:r>
      <w:proofErr w:type="spellEnd"/>
      <w:r w:rsidR="008109E3" w:rsidRPr="00245623">
        <w:rPr>
          <w:lang w:val="en-US"/>
        </w:rPr>
        <w:t>,</w:t>
      </w:r>
      <w:r w:rsidR="00220D78" w:rsidRPr="00245623">
        <w:rPr>
          <w:lang w:val="en-US"/>
        </w:rPr>
        <w:t xml:space="preserve"> </w:t>
      </w:r>
      <w:proofErr w:type="spellStart"/>
      <w:r w:rsidR="00220D78" w:rsidRPr="00245623">
        <w:rPr>
          <w:lang w:val="en-US"/>
        </w:rPr>
        <w:t>tCho</w:t>
      </w:r>
      <w:proofErr w:type="spellEnd"/>
      <w:r w:rsidR="00220D78" w:rsidRPr="00245623">
        <w:rPr>
          <w:lang w:val="en-US"/>
        </w:rPr>
        <w:t>,</w:t>
      </w:r>
      <w:r w:rsidR="008109E3" w:rsidRPr="00245623">
        <w:rPr>
          <w:lang w:val="en-US"/>
        </w:rPr>
        <w:t xml:space="preserve"> </w:t>
      </w:r>
      <w:proofErr w:type="spellStart"/>
      <w:r w:rsidR="00433FAA" w:rsidRPr="00245623">
        <w:rPr>
          <w:lang w:val="en-US"/>
        </w:rPr>
        <w:t>tCr</w:t>
      </w:r>
      <w:proofErr w:type="spellEnd"/>
      <w:r w:rsidR="008109E3" w:rsidRPr="00245623">
        <w:rPr>
          <w:lang w:val="en-US"/>
        </w:rPr>
        <w:t xml:space="preserve"> and</w:t>
      </w:r>
      <w:r w:rsidR="00433FAA" w:rsidRPr="00245623">
        <w:rPr>
          <w:lang w:val="en-US"/>
        </w:rPr>
        <w:t xml:space="preserve"> </w:t>
      </w:r>
      <w:proofErr w:type="spellStart"/>
      <w:r w:rsidR="00582EA6" w:rsidRPr="00245623">
        <w:rPr>
          <w:lang w:val="en-US"/>
        </w:rPr>
        <w:t>t</w:t>
      </w:r>
      <w:r w:rsidR="008109E3" w:rsidRPr="00245623">
        <w:rPr>
          <w:lang w:val="en-US"/>
        </w:rPr>
        <w:t>NAA</w:t>
      </w:r>
      <w:proofErr w:type="spellEnd"/>
      <w:r w:rsidR="008109E3" w:rsidRPr="00245623">
        <w:rPr>
          <w:lang w:val="en-US"/>
        </w:rPr>
        <w:t xml:space="preserve"> </w:t>
      </w:r>
      <w:r w:rsidR="00EE520D" w:rsidRPr="00245623">
        <w:rPr>
          <w:lang w:val="en-US"/>
        </w:rPr>
        <w:t>w</w:t>
      </w:r>
      <w:r w:rsidR="008F7F6A" w:rsidRPr="00245623">
        <w:rPr>
          <w:lang w:val="en-US"/>
        </w:rPr>
        <w:t>ere</w:t>
      </w:r>
      <w:r w:rsidR="00EE520D" w:rsidRPr="00245623">
        <w:rPr>
          <w:lang w:val="en-US"/>
        </w:rPr>
        <w:t xml:space="preserve"> calculated</w:t>
      </w:r>
      <w:r w:rsidR="00455197" w:rsidRPr="00245623">
        <w:rPr>
          <w:lang w:val="en-US"/>
        </w:rPr>
        <w:t xml:space="preserve"> for each mouse and diffusion direction</w:t>
      </w:r>
      <w:r w:rsidR="00EE520D" w:rsidRPr="00245623">
        <w:rPr>
          <w:lang w:val="en-US"/>
        </w:rPr>
        <w:t xml:space="preserve"> </w:t>
      </w:r>
      <w:r w:rsidR="00F41741" w:rsidRPr="00245623">
        <w:rPr>
          <w:lang w:val="en-US"/>
        </w:rPr>
        <w:t>assuming a mono-exponential decay,</w:t>
      </w:r>
      <w:r w:rsidR="002B1791" w:rsidRPr="00245623">
        <w:rPr>
          <w:lang w:val="en-US"/>
        </w:rPr>
        <w:t xml:space="preserve"> </w:t>
      </w:r>
      <w:r w:rsidR="00EE520D" w:rsidRPr="00245623">
        <w:rPr>
          <w:lang w:val="en-US"/>
        </w:rPr>
        <w:t xml:space="preserve">by linear regression of the logarithm of the </w:t>
      </w:r>
      <w:r w:rsidR="002B1791" w:rsidRPr="00245623">
        <w:rPr>
          <w:lang w:val="en-US"/>
        </w:rPr>
        <w:t xml:space="preserve">normalized </w:t>
      </w:r>
      <w:r w:rsidR="00EE520D" w:rsidRPr="00245623">
        <w:rPr>
          <w:lang w:val="en-US"/>
        </w:rPr>
        <w:t>signal decay</w:t>
      </w:r>
      <w:r w:rsidR="002B1791" w:rsidRPr="00245623">
        <w:rPr>
          <w:color w:val="000000" w:themeColor="text1"/>
          <w:lang w:val="en-US"/>
        </w:rPr>
        <w:t>:</w:t>
      </w:r>
    </w:p>
    <w:p w14:paraId="63AA1A33" w14:textId="6984C64D" w:rsidR="002B1791" w:rsidRPr="00245623" w:rsidRDefault="006C1A87" w:rsidP="002B1791">
      <w:pPr>
        <w:tabs>
          <w:tab w:val="left" w:pos="709"/>
          <w:tab w:val="left" w:pos="5077"/>
        </w:tabs>
        <w:spacing w:line="480" w:lineRule="auto"/>
        <w:jc w:val="center"/>
        <w:rPr>
          <w:i/>
          <w:color w:val="000000" w:themeColor="text1"/>
          <w:lang w:val="en-US"/>
        </w:rPr>
      </w:pPr>
      <m:oMath>
        <m:func>
          <m:funcPr>
            <m:ctrlPr>
              <w:rPr>
                <w:rFonts w:ascii="Cambria Math" w:hAnsi="Cambria Math"/>
                <w:noProof/>
                <w:szCs w:val="20"/>
                <w:lang w:val="en-US"/>
              </w:rPr>
            </m:ctrlPr>
          </m:funcPr>
          <m:fName>
            <m:r>
              <m:rPr>
                <m:sty m:val="p"/>
              </m:rPr>
              <w:rPr>
                <w:rFonts w:ascii="Cambria Math" w:hAnsi="Cambria Math"/>
                <w:noProof/>
                <w:szCs w:val="20"/>
                <w:lang w:val="en-US"/>
              </w:rPr>
              <m:t>ln</m:t>
            </m:r>
          </m:fName>
          <m:e>
            <m:d>
              <m:dPr>
                <m:begChr m:val="["/>
                <m:endChr m:val="]"/>
                <m:ctrlPr>
                  <w:rPr>
                    <w:rFonts w:ascii="Cambria Math" w:hAnsi="Cambria Math"/>
                    <w:i/>
                    <w:noProof/>
                    <w:szCs w:val="20"/>
                    <w:lang w:val="en-US"/>
                  </w:rPr>
                </m:ctrlPr>
              </m:dPr>
              <m:e>
                <m:f>
                  <m:fPr>
                    <m:ctrlPr>
                      <w:rPr>
                        <w:rFonts w:ascii="Cambria Math" w:hAnsi="Cambria Math"/>
                        <w:i/>
                        <w:noProof/>
                        <w:szCs w:val="20"/>
                        <w:lang w:val="en-US"/>
                      </w:rPr>
                    </m:ctrlPr>
                  </m:fPr>
                  <m:num>
                    <m:sSubSup>
                      <m:sSubSupPr>
                        <m:ctrlPr>
                          <w:rPr>
                            <w:rFonts w:ascii="Cambria Math" w:hAnsi="Cambria Math"/>
                            <w:i/>
                            <w:noProof/>
                            <w:szCs w:val="20"/>
                            <w:lang w:val="en-US"/>
                          </w:rPr>
                        </m:ctrlPr>
                      </m:sSubSupPr>
                      <m:e>
                        <m:r>
                          <w:rPr>
                            <w:rFonts w:ascii="Cambria Math" w:hAnsi="Cambria Math"/>
                            <w:noProof/>
                            <w:szCs w:val="20"/>
                            <w:lang w:val="en-US"/>
                          </w:rPr>
                          <m:t>S</m:t>
                        </m:r>
                      </m:e>
                      <m:sub>
                        <m:r>
                          <w:rPr>
                            <w:rFonts w:ascii="Cambria Math" w:hAnsi="Cambria Math"/>
                            <w:noProof/>
                            <w:szCs w:val="20"/>
                            <w:lang w:val="en-US"/>
                          </w:rPr>
                          <m:t>met</m:t>
                        </m:r>
                      </m:sub>
                      <m:sup>
                        <m:r>
                          <w:rPr>
                            <w:rFonts w:ascii="Cambria Math" w:hAnsi="Cambria Math"/>
                            <w:noProof/>
                            <w:szCs w:val="20"/>
                            <w:lang w:val="en-US"/>
                          </w:rPr>
                          <m:t>i</m:t>
                        </m:r>
                      </m:sup>
                    </m:sSubSup>
                    <m:d>
                      <m:dPr>
                        <m:ctrlPr>
                          <w:rPr>
                            <w:rFonts w:ascii="Cambria Math" w:hAnsi="Cambria Math"/>
                            <w:i/>
                            <w:noProof/>
                            <w:szCs w:val="20"/>
                            <w:lang w:val="en-US"/>
                          </w:rPr>
                        </m:ctrlPr>
                      </m:dPr>
                      <m:e>
                        <m:r>
                          <w:rPr>
                            <w:rFonts w:ascii="Cambria Math" w:hAnsi="Cambria Math"/>
                            <w:noProof/>
                            <w:szCs w:val="20"/>
                            <w:lang w:val="en-US"/>
                          </w:rPr>
                          <m:t>b</m:t>
                        </m:r>
                      </m:e>
                    </m:d>
                  </m:num>
                  <m:den>
                    <m:sSub>
                      <m:sSubPr>
                        <m:ctrlPr>
                          <w:rPr>
                            <w:rFonts w:ascii="Cambria Math" w:hAnsi="Cambria Math"/>
                            <w:i/>
                            <w:noProof/>
                            <w:szCs w:val="20"/>
                            <w:lang w:val="en-US"/>
                          </w:rPr>
                        </m:ctrlPr>
                      </m:sSubPr>
                      <m:e>
                        <m:r>
                          <w:rPr>
                            <w:rFonts w:ascii="Cambria Math" w:hAnsi="Cambria Math"/>
                            <w:noProof/>
                            <w:szCs w:val="20"/>
                            <w:lang w:val="en-US"/>
                          </w:rPr>
                          <m:t>S</m:t>
                        </m:r>
                      </m:e>
                      <m:sub>
                        <m:r>
                          <w:rPr>
                            <w:rFonts w:ascii="Cambria Math" w:hAnsi="Cambria Math"/>
                            <w:noProof/>
                            <w:szCs w:val="20"/>
                            <w:lang w:val="en-US"/>
                          </w:rPr>
                          <m:t>met</m:t>
                        </m:r>
                      </m:sub>
                    </m:sSub>
                    <m:r>
                      <w:rPr>
                        <w:rFonts w:ascii="Cambria Math" w:hAnsi="Cambria Math"/>
                        <w:noProof/>
                        <w:szCs w:val="20"/>
                        <w:lang w:val="en-US"/>
                      </w:rPr>
                      <m:t>(</m:t>
                    </m:r>
                    <m:sSub>
                      <m:sSubPr>
                        <m:ctrlPr>
                          <w:rPr>
                            <w:rFonts w:ascii="Cambria Math" w:hAnsi="Cambria Math"/>
                            <w:i/>
                            <w:noProof/>
                            <w:szCs w:val="20"/>
                            <w:lang w:val="en-US"/>
                          </w:rPr>
                        </m:ctrlPr>
                      </m:sSubPr>
                      <m:e>
                        <m:r>
                          <w:rPr>
                            <w:rFonts w:ascii="Cambria Math" w:hAnsi="Cambria Math"/>
                            <w:noProof/>
                            <w:szCs w:val="20"/>
                            <w:lang w:val="en-US"/>
                          </w:rPr>
                          <m:t>b</m:t>
                        </m:r>
                      </m:e>
                      <m:sub>
                        <m:r>
                          <w:rPr>
                            <w:rFonts w:ascii="Cambria Math" w:hAnsi="Cambria Math"/>
                            <w:noProof/>
                            <w:szCs w:val="20"/>
                            <w:lang w:val="en-US"/>
                          </w:rPr>
                          <m:t>0</m:t>
                        </m:r>
                      </m:sub>
                    </m:sSub>
                    <m:r>
                      <w:rPr>
                        <w:rFonts w:ascii="Cambria Math" w:hAnsi="Cambria Math"/>
                        <w:noProof/>
                        <w:szCs w:val="20"/>
                        <w:lang w:val="en-US"/>
                      </w:rPr>
                      <m:t>)</m:t>
                    </m:r>
                  </m:den>
                </m:f>
              </m:e>
            </m:d>
          </m:e>
        </m:func>
        <m:r>
          <w:rPr>
            <w:rFonts w:ascii="Cambria Math" w:hAnsi="Cambria Math"/>
            <w:noProof/>
            <w:szCs w:val="20"/>
            <w:lang w:val="en-US"/>
          </w:rPr>
          <m:t>=-b∙</m:t>
        </m:r>
        <m:sSubSup>
          <m:sSubSupPr>
            <m:ctrlPr>
              <w:rPr>
                <w:rFonts w:ascii="Cambria Math" w:hAnsi="Cambria Math"/>
                <w:i/>
                <w:noProof/>
                <w:szCs w:val="20"/>
                <w:lang w:val="en-US"/>
              </w:rPr>
            </m:ctrlPr>
          </m:sSubSupPr>
          <m:e>
            <m:r>
              <w:rPr>
                <w:rFonts w:ascii="Cambria Math" w:hAnsi="Cambria Math"/>
                <w:noProof/>
                <w:szCs w:val="20"/>
                <w:lang w:val="en-US"/>
              </w:rPr>
              <m:t>ADC</m:t>
            </m:r>
          </m:e>
          <m:sub>
            <m:r>
              <w:rPr>
                <w:rFonts w:ascii="Cambria Math" w:hAnsi="Cambria Math"/>
                <w:noProof/>
                <w:szCs w:val="20"/>
                <w:lang w:val="en-US"/>
              </w:rPr>
              <m:t>met</m:t>
            </m:r>
          </m:sub>
          <m:sup>
            <m:r>
              <w:rPr>
                <w:rFonts w:ascii="Cambria Math" w:hAnsi="Cambria Math"/>
                <w:noProof/>
                <w:szCs w:val="20"/>
                <w:lang w:val="en-US"/>
              </w:rPr>
              <m:t>i</m:t>
            </m:r>
          </m:sup>
        </m:sSubSup>
      </m:oMath>
      <w:r w:rsidR="002B1791" w:rsidRPr="00245623">
        <w:rPr>
          <w:noProof/>
          <w:szCs w:val="20"/>
          <w:lang w:val="en-US"/>
        </w:rPr>
        <w:t xml:space="preserve">   </w:t>
      </w:r>
      <w:r w:rsidR="002B1791" w:rsidRPr="00245623">
        <w:rPr>
          <w:noProof/>
          <w:sz w:val="20"/>
          <w:szCs w:val="20"/>
          <w:lang w:val="en-US"/>
        </w:rPr>
        <w:t xml:space="preserve">      </w:t>
      </w:r>
    </w:p>
    <w:p w14:paraId="1D2DB28A" w14:textId="7D0C76D1" w:rsidR="00BE7097" w:rsidRPr="00245623" w:rsidRDefault="002B1791" w:rsidP="005658E8">
      <w:pPr>
        <w:tabs>
          <w:tab w:val="left" w:pos="709"/>
          <w:tab w:val="left" w:pos="5077"/>
        </w:tabs>
        <w:spacing w:line="480" w:lineRule="auto"/>
        <w:jc w:val="both"/>
        <w:rPr>
          <w:color w:val="000000" w:themeColor="text1"/>
          <w:lang w:val="en-US"/>
        </w:rPr>
      </w:pPr>
      <w:r w:rsidRPr="00245623">
        <w:rPr>
          <w:lang w:val="en-US"/>
        </w:rPr>
        <w:t xml:space="preserve">where </w:t>
      </w:r>
      <w:proofErr w:type="spellStart"/>
      <w:r w:rsidRPr="00245623">
        <w:rPr>
          <w:i/>
          <w:lang w:val="en-US"/>
        </w:rPr>
        <w:t>S</w:t>
      </w:r>
      <w:r w:rsidR="005E3EA6" w:rsidRPr="00245623">
        <w:rPr>
          <w:i/>
          <w:vertAlign w:val="subscript"/>
          <w:lang w:val="en-US"/>
        </w:rPr>
        <w:t>met</w:t>
      </w:r>
      <w:r w:rsidRPr="00245623">
        <w:rPr>
          <w:i/>
          <w:vertAlign w:val="superscript"/>
          <w:lang w:val="en-US"/>
        </w:rPr>
        <w:t>i</w:t>
      </w:r>
      <w:proofErr w:type="spellEnd"/>
      <w:r w:rsidRPr="00245623">
        <w:rPr>
          <w:lang w:val="en-US"/>
        </w:rPr>
        <w:t>(</w:t>
      </w:r>
      <w:r w:rsidRPr="00245623">
        <w:rPr>
          <w:i/>
          <w:lang w:val="en-US"/>
        </w:rPr>
        <w:t>b</w:t>
      </w:r>
      <w:r w:rsidRPr="00245623">
        <w:rPr>
          <w:lang w:val="en-US"/>
        </w:rPr>
        <w:t>) is the</w:t>
      </w:r>
      <w:r w:rsidR="005E3EA6" w:rsidRPr="00245623">
        <w:rPr>
          <w:lang w:val="en-US"/>
        </w:rPr>
        <w:t xml:space="preserve"> </w:t>
      </w:r>
      <w:r w:rsidRPr="00245623">
        <w:rPr>
          <w:lang w:val="en-US"/>
        </w:rPr>
        <w:t xml:space="preserve">signal measured </w:t>
      </w:r>
      <w:r w:rsidR="003A5A51" w:rsidRPr="00245623">
        <w:rPr>
          <w:lang w:val="en-US"/>
        </w:rPr>
        <w:t xml:space="preserve">for a given metabolite and </w:t>
      </w:r>
      <w:r w:rsidRPr="00245623">
        <w:rPr>
          <w:lang w:val="en-US"/>
        </w:rPr>
        <w:t xml:space="preserve">at a given </w:t>
      </w:r>
      <w:r w:rsidRPr="00245623">
        <w:rPr>
          <w:i/>
          <w:lang w:val="en-US"/>
        </w:rPr>
        <w:t>b</w:t>
      </w:r>
      <w:r w:rsidRPr="00245623">
        <w:rPr>
          <w:lang w:val="en-US"/>
        </w:rPr>
        <w:t xml:space="preserve">-value in direction </w:t>
      </w:r>
      <w:proofErr w:type="spellStart"/>
      <w:r w:rsidRPr="00245623">
        <w:rPr>
          <w:i/>
          <w:lang w:val="en-US"/>
        </w:rPr>
        <w:t>i</w:t>
      </w:r>
      <w:proofErr w:type="spellEnd"/>
      <w:r w:rsidRPr="00245623">
        <w:rPr>
          <w:lang w:val="en-US"/>
        </w:rPr>
        <w:t xml:space="preserve">, </w:t>
      </w:r>
      <w:r w:rsidRPr="00245623">
        <w:rPr>
          <w:i/>
          <w:lang w:val="en-US"/>
        </w:rPr>
        <w:t>S</w:t>
      </w:r>
      <w:r w:rsidR="005E3EA6" w:rsidRPr="00245623">
        <w:rPr>
          <w:i/>
          <w:vertAlign w:val="subscript"/>
          <w:lang w:val="en-US"/>
        </w:rPr>
        <w:t>met</w:t>
      </w:r>
      <w:r w:rsidR="005E3EA6" w:rsidRPr="00245623">
        <w:rPr>
          <w:i/>
          <w:lang w:val="en-US"/>
        </w:rPr>
        <w:t>(b</w:t>
      </w:r>
      <w:r w:rsidR="005E3EA6" w:rsidRPr="00245623">
        <w:rPr>
          <w:i/>
          <w:vertAlign w:val="subscript"/>
          <w:lang w:val="en-US"/>
        </w:rPr>
        <w:t>0</w:t>
      </w:r>
      <w:r w:rsidR="005E3EA6" w:rsidRPr="00245623">
        <w:rPr>
          <w:i/>
          <w:lang w:val="en-US"/>
        </w:rPr>
        <w:t>)</w:t>
      </w:r>
      <w:r w:rsidRPr="00245623">
        <w:rPr>
          <w:i/>
          <w:vertAlign w:val="subscript"/>
          <w:lang w:val="en-US"/>
        </w:rPr>
        <w:t xml:space="preserve"> </w:t>
      </w:r>
      <w:r w:rsidRPr="00245623">
        <w:rPr>
          <w:lang w:val="en-US"/>
        </w:rPr>
        <w:t>is the</w:t>
      </w:r>
      <w:r w:rsidR="005E3EA6" w:rsidRPr="00245623">
        <w:rPr>
          <w:lang w:val="en-US"/>
        </w:rPr>
        <w:t xml:space="preserve"> </w:t>
      </w:r>
      <w:r w:rsidRPr="00245623">
        <w:rPr>
          <w:lang w:val="en-US"/>
        </w:rPr>
        <w:t xml:space="preserve">signal </w:t>
      </w:r>
      <w:r w:rsidR="003A5A51" w:rsidRPr="00245623">
        <w:rPr>
          <w:lang w:val="en-US"/>
        </w:rPr>
        <w:t xml:space="preserve">of the same metabolite </w:t>
      </w:r>
      <w:r w:rsidRPr="00245623">
        <w:rPr>
          <w:lang w:val="en-US"/>
        </w:rPr>
        <w:t xml:space="preserve">measured at </w:t>
      </w:r>
      <w:r w:rsidRPr="00245623">
        <w:rPr>
          <w:i/>
          <w:lang w:val="en-US"/>
        </w:rPr>
        <w:t>b</w:t>
      </w:r>
      <w:r w:rsidRPr="00245623">
        <w:rPr>
          <w:vertAlign w:val="subscript"/>
          <w:lang w:val="en-US"/>
        </w:rPr>
        <w:t>0</w:t>
      </w:r>
      <w:r w:rsidRPr="00245623">
        <w:rPr>
          <w:lang w:val="en-US"/>
        </w:rPr>
        <w:t xml:space="preserve">, and </w:t>
      </w:r>
      <w:proofErr w:type="spellStart"/>
      <w:r w:rsidRPr="00245623">
        <w:rPr>
          <w:i/>
          <w:lang w:val="en-US"/>
        </w:rPr>
        <w:t>ADC</w:t>
      </w:r>
      <w:r w:rsidRPr="00245623">
        <w:rPr>
          <w:i/>
          <w:vertAlign w:val="superscript"/>
          <w:lang w:val="en-US"/>
        </w:rPr>
        <w:t>i</w:t>
      </w:r>
      <w:r w:rsidR="005E3EA6" w:rsidRPr="00245623">
        <w:rPr>
          <w:i/>
          <w:vertAlign w:val="subscript"/>
          <w:lang w:val="en-US"/>
        </w:rPr>
        <w:t>met</w:t>
      </w:r>
      <w:proofErr w:type="spellEnd"/>
      <w:r w:rsidRPr="00245623">
        <w:rPr>
          <w:lang w:val="en-US"/>
        </w:rPr>
        <w:t xml:space="preserve"> is the corresponding apparent diffusion coefficient estimated in direction </w:t>
      </w:r>
      <w:proofErr w:type="spellStart"/>
      <w:r w:rsidRPr="00245623">
        <w:rPr>
          <w:i/>
          <w:lang w:val="en-US"/>
        </w:rPr>
        <w:t>i</w:t>
      </w:r>
      <w:proofErr w:type="spellEnd"/>
      <w:r w:rsidRPr="00245623">
        <w:rPr>
          <w:lang w:val="en-US"/>
        </w:rPr>
        <w:t>.</w:t>
      </w:r>
      <w:r w:rsidR="00455197" w:rsidRPr="00245623">
        <w:rPr>
          <w:color w:val="000000" w:themeColor="text1"/>
          <w:lang w:val="en-US"/>
        </w:rPr>
        <w:t xml:space="preserve"> </w:t>
      </w:r>
      <w:r w:rsidR="00ED2AE9" w:rsidRPr="00245623">
        <w:rPr>
          <w:color w:val="000000" w:themeColor="text1"/>
          <w:lang w:val="en-US"/>
        </w:rPr>
        <w:t xml:space="preserve">For </w:t>
      </w:r>
      <w:r w:rsidR="00455197" w:rsidRPr="00245623">
        <w:rPr>
          <w:color w:val="000000" w:themeColor="text1"/>
          <w:lang w:val="en-US"/>
        </w:rPr>
        <w:t>each mouse and each</w:t>
      </w:r>
      <w:r w:rsidR="00ED2AE9" w:rsidRPr="00245623">
        <w:rPr>
          <w:color w:val="000000" w:themeColor="text1"/>
          <w:lang w:val="en-US"/>
        </w:rPr>
        <w:t xml:space="preserve"> metabolite, t</w:t>
      </w:r>
      <w:r w:rsidR="00EE520D" w:rsidRPr="00245623">
        <w:rPr>
          <w:color w:val="000000" w:themeColor="text1"/>
          <w:lang w:val="en-US"/>
        </w:rPr>
        <w:t>he average diffusivity</w:t>
      </w:r>
      <w:r w:rsidR="00EE520D" w:rsidRPr="00245623">
        <w:rPr>
          <w:i/>
          <w:color w:val="000000" w:themeColor="text1"/>
          <w:lang w:val="en-US"/>
        </w:rPr>
        <w:t xml:space="preserve"> </w:t>
      </w:r>
      <w:r w:rsidR="00EE520D" w:rsidRPr="00245623">
        <w:rPr>
          <w:color w:val="000000" w:themeColor="text1"/>
          <w:lang w:val="en-US"/>
        </w:rPr>
        <w:t>was computed across the three diffusion-weighted directions.</w:t>
      </w:r>
      <w:bookmarkStart w:id="10" w:name="_Toc23067515"/>
      <w:bookmarkEnd w:id="10"/>
      <w:r w:rsidR="005C7760" w:rsidRPr="00245623">
        <w:rPr>
          <w:color w:val="000000" w:themeColor="text1"/>
          <w:lang w:val="en-US"/>
        </w:rPr>
        <w:t xml:space="preserve"> </w:t>
      </w:r>
    </w:p>
    <w:p w14:paraId="7D271486" w14:textId="304A9D40" w:rsidR="00BE7097" w:rsidRPr="00245623" w:rsidRDefault="006B3216" w:rsidP="00404AA6">
      <w:pPr>
        <w:pStyle w:val="Commentaire"/>
        <w:spacing w:line="480" w:lineRule="auto"/>
        <w:jc w:val="both"/>
        <w:rPr>
          <w:rFonts w:ascii="Times New Roman" w:hAnsi="Times New Roman" w:cs="Times New Roman"/>
          <w:sz w:val="24"/>
          <w:szCs w:val="24"/>
        </w:rPr>
      </w:pPr>
      <w:r w:rsidRPr="00245623">
        <w:rPr>
          <w:rFonts w:ascii="Times New Roman" w:hAnsi="Times New Roman" w:cs="Times New Roman"/>
          <w:sz w:val="24"/>
          <w:szCs w:val="24"/>
        </w:rPr>
        <w:t xml:space="preserve">The </w:t>
      </w:r>
      <w:proofErr w:type="spellStart"/>
      <w:r w:rsidR="00754018" w:rsidRPr="00245623">
        <w:rPr>
          <w:rFonts w:ascii="Times New Roman" w:hAnsi="Times New Roman" w:cs="Times New Roman"/>
          <w:sz w:val="24"/>
          <w:szCs w:val="24"/>
        </w:rPr>
        <w:t>tCr</w:t>
      </w:r>
      <w:proofErr w:type="spellEnd"/>
      <w:r w:rsidR="00754018" w:rsidRPr="00245623">
        <w:rPr>
          <w:rFonts w:ascii="Times New Roman" w:hAnsi="Times New Roman" w:cs="Times New Roman"/>
          <w:sz w:val="24"/>
          <w:szCs w:val="24"/>
        </w:rPr>
        <w:t xml:space="preserve"> </w:t>
      </w:r>
      <w:r w:rsidR="00323858" w:rsidRPr="00245623">
        <w:rPr>
          <w:rFonts w:ascii="Times New Roman" w:hAnsi="Times New Roman" w:cs="Times New Roman"/>
          <w:sz w:val="24"/>
          <w:szCs w:val="24"/>
        </w:rPr>
        <w:t xml:space="preserve">signal amplitudes </w:t>
      </w:r>
      <w:r w:rsidR="00CC2978" w:rsidRPr="00245623">
        <w:rPr>
          <w:rFonts w:ascii="Times New Roman" w:hAnsi="Times New Roman" w:cs="Times New Roman"/>
          <w:sz w:val="24"/>
          <w:szCs w:val="24"/>
        </w:rPr>
        <w:t>(</w:t>
      </w:r>
      <w:proofErr w:type="spellStart"/>
      <w:r w:rsidR="00CC2978" w:rsidRPr="00245623">
        <w:rPr>
          <w:rFonts w:ascii="Times New Roman" w:hAnsi="Times New Roman" w:cs="Times New Roman"/>
          <w:sz w:val="24"/>
          <w:szCs w:val="24"/>
        </w:rPr>
        <w:t>a.u</w:t>
      </w:r>
      <w:proofErr w:type="spellEnd"/>
      <w:r w:rsidR="00CC2978" w:rsidRPr="00245623">
        <w:rPr>
          <w:rFonts w:ascii="Times New Roman" w:hAnsi="Times New Roman" w:cs="Times New Roman"/>
          <w:sz w:val="24"/>
          <w:szCs w:val="24"/>
        </w:rPr>
        <w:t xml:space="preserve">.) </w:t>
      </w:r>
      <w:r w:rsidR="00EE520D" w:rsidRPr="00245623">
        <w:rPr>
          <w:rFonts w:ascii="Times New Roman" w:hAnsi="Times New Roman" w:cs="Times New Roman"/>
          <w:sz w:val="24"/>
          <w:szCs w:val="24"/>
        </w:rPr>
        <w:t xml:space="preserve">were evaluated </w:t>
      </w:r>
      <w:r w:rsidR="000723B0" w:rsidRPr="00245623">
        <w:rPr>
          <w:rFonts w:ascii="Times New Roman" w:hAnsi="Times New Roman" w:cs="Times New Roman"/>
          <w:sz w:val="24"/>
          <w:szCs w:val="24"/>
        </w:rPr>
        <w:t xml:space="preserve">from the spectra measured at </w:t>
      </w:r>
      <w:r w:rsidR="000723B0" w:rsidRPr="00245623">
        <w:rPr>
          <w:rFonts w:ascii="Times New Roman" w:hAnsi="Times New Roman" w:cs="Times New Roman"/>
          <w:i/>
          <w:sz w:val="24"/>
          <w:szCs w:val="24"/>
        </w:rPr>
        <w:t>b</w:t>
      </w:r>
      <w:r w:rsidR="000723B0" w:rsidRPr="00245623">
        <w:rPr>
          <w:rFonts w:ascii="Times New Roman" w:hAnsi="Times New Roman" w:cs="Times New Roman"/>
          <w:sz w:val="24"/>
          <w:szCs w:val="24"/>
          <w:vertAlign w:val="subscript"/>
        </w:rPr>
        <w:t>0</w:t>
      </w:r>
      <w:r w:rsidR="00DF46B5" w:rsidRPr="00245623">
        <w:rPr>
          <w:rFonts w:ascii="Times New Roman" w:hAnsi="Times New Roman" w:cs="Times New Roman"/>
          <w:sz w:val="24"/>
          <w:szCs w:val="24"/>
        </w:rPr>
        <w:t>,</w:t>
      </w:r>
      <w:r w:rsidR="009800F8" w:rsidRPr="00245623">
        <w:rPr>
          <w:rFonts w:ascii="Times New Roman" w:hAnsi="Times New Roman" w:cs="Times New Roman"/>
          <w:sz w:val="24"/>
          <w:szCs w:val="24"/>
        </w:rPr>
        <w:t xml:space="preserve"> </w:t>
      </w:r>
      <w:r w:rsidR="006263EA" w:rsidRPr="00245623">
        <w:rPr>
          <w:rFonts w:ascii="Times New Roman" w:hAnsi="Times New Roman" w:cs="Times New Roman"/>
          <w:sz w:val="24"/>
          <w:szCs w:val="24"/>
        </w:rPr>
        <w:t>and scaled to</w:t>
      </w:r>
      <w:r w:rsidR="00EE520D" w:rsidRPr="00245623">
        <w:rPr>
          <w:rFonts w:ascii="Times New Roman" w:hAnsi="Times New Roman" w:cs="Times New Roman"/>
          <w:sz w:val="24"/>
          <w:szCs w:val="24"/>
        </w:rPr>
        <w:t xml:space="preserve"> the water</w:t>
      </w:r>
      <w:r w:rsidR="006263EA" w:rsidRPr="00245623">
        <w:rPr>
          <w:rFonts w:ascii="Times New Roman" w:hAnsi="Times New Roman" w:cs="Times New Roman"/>
          <w:sz w:val="24"/>
          <w:szCs w:val="24"/>
        </w:rPr>
        <w:t xml:space="preserve"> reference</w:t>
      </w:r>
      <w:r w:rsidR="00EE520D" w:rsidRPr="00245623">
        <w:rPr>
          <w:rFonts w:ascii="Times New Roman" w:hAnsi="Times New Roman" w:cs="Times New Roman"/>
          <w:sz w:val="24"/>
          <w:szCs w:val="24"/>
        </w:rPr>
        <w:t xml:space="preserve"> </w:t>
      </w:r>
      <w:r w:rsidR="00E331E8" w:rsidRPr="00245623">
        <w:rPr>
          <w:rFonts w:ascii="Times New Roman" w:hAnsi="Times New Roman" w:cs="Times New Roman"/>
          <w:sz w:val="24"/>
          <w:szCs w:val="24"/>
        </w:rPr>
        <w:t>peak</w:t>
      </w:r>
      <w:r w:rsidR="00EE520D" w:rsidRPr="00245623">
        <w:rPr>
          <w:rFonts w:ascii="Times New Roman" w:hAnsi="Times New Roman" w:cs="Times New Roman"/>
          <w:sz w:val="24"/>
          <w:szCs w:val="24"/>
        </w:rPr>
        <w:t xml:space="preserve"> acquired at the same condition. </w:t>
      </w:r>
      <w:r w:rsidR="00856758" w:rsidRPr="00245623">
        <w:rPr>
          <w:rFonts w:ascii="Times New Roman" w:hAnsi="Times New Roman" w:cs="Times New Roman"/>
          <w:sz w:val="24"/>
          <w:szCs w:val="24"/>
        </w:rPr>
        <w:t>The percentage of cerebral spinal fluid in the VOI was estimated</w:t>
      </w:r>
      <w:r w:rsidR="00323858" w:rsidRPr="00245623">
        <w:rPr>
          <w:rFonts w:ascii="Times New Roman" w:hAnsi="Times New Roman" w:cs="Times New Roman"/>
          <w:sz w:val="24"/>
          <w:szCs w:val="24"/>
        </w:rPr>
        <w:t xml:space="preserve"> from </w:t>
      </w:r>
      <w:r w:rsidR="00BE2AFB" w:rsidRPr="00245623">
        <w:rPr>
          <w:rFonts w:ascii="Times New Roman" w:hAnsi="Times New Roman" w:cs="Times New Roman"/>
          <w:sz w:val="24"/>
          <w:szCs w:val="24"/>
        </w:rPr>
        <w:t>the diffusion MRI data acquired in the same protocol and reported elsewhere</w:t>
      </w:r>
      <w:r w:rsidR="006C02E7" w:rsidRPr="00245623">
        <w:rPr>
          <w:rFonts w:ascii="Times New Roman" w:hAnsi="Times New Roman" w:cs="Times New Roman"/>
          <w:sz w:val="24"/>
          <w:szCs w:val="24"/>
        </w:rPr>
        <w:t xml:space="preserve"> </w:t>
      </w:r>
      <w:r w:rsidR="006C02E7" w:rsidRPr="00245623">
        <w:rPr>
          <w:rFonts w:ascii="Times New Roman" w:hAnsi="Times New Roman" w:cs="Times New Roman"/>
          <w:sz w:val="24"/>
          <w:szCs w:val="24"/>
          <w:vertAlign w:val="superscript"/>
        </w:rPr>
        <w:lastRenderedPageBreak/>
        <w:fldChar w:fldCharType="begin"/>
      </w:r>
      <w:r w:rsidR="006C02E7" w:rsidRPr="00245623">
        <w:rPr>
          <w:rFonts w:ascii="Times New Roman" w:hAnsi="Times New Roman" w:cs="Times New Roman"/>
          <w:sz w:val="24"/>
          <w:szCs w:val="24"/>
          <w:vertAlign w:val="superscript"/>
        </w:rPr>
        <w:instrText xml:space="preserve"> ADDIN ZOTERO_ITEM CSL_CITATION {"citationID":"csaFE7gq","properties":{"formattedCitation":"\\super 25\\nosupersub{}","plainCitation":"25","noteIndex":0},"citationItems":[{"id":626,"uris":["http://zotero.org/users/local/JiswOD7j/items/JCWZ2ACZ"],"uri":["http://zotero.org/users/local/JiswOD7j/items/JCWZ2ACZ"],"itemData":{"id":626,"type":"article-journal","container-title":"arXiv preprint arXiv:1907.02324","title":"Machine learning based white matter models with permeability: an experimental study in cuprizone treated in-vivo mouse model of axonal demyelination","author":[{"family":"Hill","given":"Ioana"},{"family":"Palombo","given":"Marco"},{"family":"Santin","given":"Mathieu"},{"family":"Branzoli","given":"Francesca"},{"family":"Philippe","given":"Anne-Charlotte"},{"family":"Wassermann","given":"Demian"},{"family":"Aigrot","given":"Marie-Stéphane"}],"issued":{"date-parts":[["2019"]]}}}],"schema":"https://github.com/citation-style-language/schema/raw/master/csl-citation.json"} </w:instrText>
      </w:r>
      <w:r w:rsidR="006C02E7" w:rsidRPr="00245623">
        <w:rPr>
          <w:rFonts w:ascii="Times New Roman" w:hAnsi="Times New Roman" w:cs="Times New Roman"/>
          <w:sz w:val="24"/>
          <w:szCs w:val="24"/>
          <w:vertAlign w:val="superscript"/>
        </w:rPr>
        <w:fldChar w:fldCharType="separate"/>
      </w:r>
      <w:r w:rsidR="006C02E7" w:rsidRPr="00245623">
        <w:rPr>
          <w:rFonts w:ascii="Times New Roman" w:hAnsi="Times New Roman" w:cs="Times New Roman"/>
          <w:sz w:val="24"/>
          <w:szCs w:val="24"/>
          <w:vertAlign w:val="superscript"/>
        </w:rPr>
        <w:t>25</w:t>
      </w:r>
      <w:r w:rsidR="006C02E7" w:rsidRPr="00245623">
        <w:rPr>
          <w:rFonts w:ascii="Times New Roman" w:hAnsi="Times New Roman" w:cs="Times New Roman"/>
          <w:sz w:val="24"/>
          <w:szCs w:val="24"/>
          <w:vertAlign w:val="superscript"/>
        </w:rPr>
        <w:fldChar w:fldCharType="end"/>
      </w:r>
      <w:r w:rsidR="00404AA6" w:rsidRPr="00245623">
        <w:rPr>
          <w:rFonts w:ascii="Times New Roman" w:hAnsi="Times New Roman" w:cs="Times New Roman"/>
          <w:sz w:val="24"/>
          <w:szCs w:val="24"/>
        </w:rPr>
        <w:t>, by thresholding the mean diffusivity maps obtained from the diffusion tensor imaging analysis at values &gt;= 2</w:t>
      </w:r>
      <w:r w:rsidR="00A56624" w:rsidRPr="00245623">
        <w:rPr>
          <w:rFonts w:ascii="Times New Roman" w:hAnsi="Times New Roman" w:cs="Times New Roman"/>
          <w:sz w:val="24"/>
          <w:szCs w:val="24"/>
        </w:rPr>
        <w:sym w:font="Symbol" w:char="F0D7"/>
      </w:r>
      <w:r w:rsidR="00404AA6" w:rsidRPr="00245623">
        <w:rPr>
          <w:rFonts w:ascii="Times New Roman" w:hAnsi="Times New Roman" w:cs="Times New Roman"/>
          <w:sz w:val="24"/>
          <w:szCs w:val="24"/>
        </w:rPr>
        <w:t>10</w:t>
      </w:r>
      <w:r w:rsidR="00404AA6" w:rsidRPr="00245623">
        <w:rPr>
          <w:rFonts w:ascii="Times New Roman" w:hAnsi="Times New Roman" w:cs="Times New Roman"/>
          <w:sz w:val="24"/>
          <w:szCs w:val="24"/>
          <w:vertAlign w:val="superscript"/>
        </w:rPr>
        <w:t>-3</w:t>
      </w:r>
      <w:r w:rsidR="00404AA6" w:rsidRPr="00245623">
        <w:rPr>
          <w:rFonts w:ascii="Times New Roman" w:hAnsi="Times New Roman" w:cs="Times New Roman"/>
          <w:sz w:val="24"/>
          <w:szCs w:val="24"/>
        </w:rPr>
        <w:t xml:space="preserve"> mm</w:t>
      </w:r>
      <w:r w:rsidR="00404AA6" w:rsidRPr="00245623">
        <w:rPr>
          <w:rFonts w:ascii="Times New Roman" w:hAnsi="Times New Roman" w:cs="Times New Roman"/>
          <w:sz w:val="24"/>
          <w:szCs w:val="24"/>
          <w:vertAlign w:val="superscript"/>
        </w:rPr>
        <w:t>2</w:t>
      </w:r>
      <w:r w:rsidR="00404AA6" w:rsidRPr="00245623">
        <w:rPr>
          <w:rFonts w:ascii="Times New Roman" w:hAnsi="Times New Roman" w:cs="Times New Roman"/>
          <w:sz w:val="24"/>
          <w:szCs w:val="24"/>
        </w:rPr>
        <w:t xml:space="preserve">/s. The cerebral spinal fluid content did not vary significantly between groups (10% </w:t>
      </w:r>
      <w:r w:rsidR="00404AA6" w:rsidRPr="00245623">
        <w:rPr>
          <w:rFonts w:ascii="Times New Roman" w:hAnsi="Times New Roman" w:cs="Times New Roman"/>
          <w:sz w:val="24"/>
          <w:szCs w:val="24"/>
        </w:rPr>
        <w:sym w:font="Symbol" w:char="F0B1"/>
      </w:r>
      <w:r w:rsidR="00404AA6" w:rsidRPr="00245623">
        <w:rPr>
          <w:rFonts w:ascii="Times New Roman" w:hAnsi="Times New Roman" w:cs="Times New Roman"/>
          <w:sz w:val="24"/>
          <w:szCs w:val="24"/>
        </w:rPr>
        <w:t xml:space="preserve"> 5% in CPZ vs. 13% </w:t>
      </w:r>
      <w:r w:rsidR="00404AA6" w:rsidRPr="00245623">
        <w:rPr>
          <w:rFonts w:ascii="Times New Roman" w:hAnsi="Times New Roman" w:cs="Times New Roman"/>
          <w:sz w:val="24"/>
          <w:szCs w:val="24"/>
        </w:rPr>
        <w:sym w:font="Symbol" w:char="F0B1"/>
      </w:r>
      <w:r w:rsidR="00404AA6" w:rsidRPr="00245623">
        <w:rPr>
          <w:rFonts w:ascii="Times New Roman" w:hAnsi="Times New Roman" w:cs="Times New Roman"/>
          <w:sz w:val="24"/>
          <w:szCs w:val="24"/>
        </w:rPr>
        <w:t xml:space="preserve"> 2% in control mice, </w:t>
      </w:r>
      <w:r w:rsidR="00404AA6" w:rsidRPr="00245623">
        <w:rPr>
          <w:rFonts w:ascii="Times New Roman" w:hAnsi="Times New Roman" w:cs="Times New Roman"/>
          <w:i/>
          <w:sz w:val="24"/>
          <w:szCs w:val="24"/>
        </w:rPr>
        <w:t>p</w:t>
      </w:r>
      <w:r w:rsidR="00404AA6" w:rsidRPr="00245623">
        <w:rPr>
          <w:rFonts w:ascii="Times New Roman" w:hAnsi="Times New Roman" w:cs="Times New Roman"/>
          <w:sz w:val="24"/>
          <w:szCs w:val="24"/>
        </w:rPr>
        <w:t xml:space="preserve"> = 0.100)</w:t>
      </w:r>
      <w:r w:rsidR="00323858" w:rsidRPr="00245623">
        <w:rPr>
          <w:rFonts w:ascii="Times New Roman" w:hAnsi="Times New Roman" w:cs="Times New Roman"/>
          <w:sz w:val="24"/>
          <w:szCs w:val="24"/>
        </w:rPr>
        <w:t>.</w:t>
      </w:r>
      <w:r w:rsidR="00856758" w:rsidRPr="00245623">
        <w:rPr>
          <w:rFonts w:ascii="Times New Roman" w:hAnsi="Times New Roman" w:cs="Times New Roman"/>
          <w:sz w:val="24"/>
          <w:szCs w:val="24"/>
        </w:rPr>
        <w:t xml:space="preserve"> </w:t>
      </w:r>
      <w:r w:rsidR="000D7208" w:rsidRPr="00245623">
        <w:rPr>
          <w:rFonts w:ascii="Times New Roman" w:hAnsi="Times New Roman" w:cs="Times New Roman"/>
          <w:sz w:val="24"/>
          <w:szCs w:val="24"/>
        </w:rPr>
        <w:t>Because</w:t>
      </w:r>
      <w:r w:rsidR="00EE520D" w:rsidRPr="00245623">
        <w:rPr>
          <w:rFonts w:ascii="Times New Roman" w:hAnsi="Times New Roman" w:cs="Times New Roman"/>
          <w:sz w:val="24"/>
          <w:szCs w:val="24"/>
        </w:rPr>
        <w:t xml:space="preserve"> </w:t>
      </w:r>
      <w:r w:rsidR="00323858" w:rsidRPr="00245623">
        <w:rPr>
          <w:rFonts w:ascii="Times New Roman" w:hAnsi="Times New Roman" w:cs="Times New Roman"/>
          <w:sz w:val="24"/>
          <w:szCs w:val="24"/>
        </w:rPr>
        <w:t xml:space="preserve">the </w:t>
      </w:r>
      <w:proofErr w:type="spellStart"/>
      <w:r w:rsidR="00EE520D" w:rsidRPr="00245623">
        <w:rPr>
          <w:rFonts w:ascii="Times New Roman" w:hAnsi="Times New Roman" w:cs="Times New Roman"/>
          <w:sz w:val="24"/>
          <w:szCs w:val="24"/>
        </w:rPr>
        <w:t>tCr</w:t>
      </w:r>
      <w:proofErr w:type="spellEnd"/>
      <w:r w:rsidR="00EE520D" w:rsidRPr="00245623">
        <w:rPr>
          <w:rFonts w:ascii="Times New Roman" w:hAnsi="Times New Roman" w:cs="Times New Roman"/>
          <w:sz w:val="24"/>
          <w:szCs w:val="24"/>
        </w:rPr>
        <w:t xml:space="preserve"> </w:t>
      </w:r>
      <w:r w:rsidR="00323858" w:rsidRPr="00245623">
        <w:rPr>
          <w:rFonts w:ascii="Times New Roman" w:hAnsi="Times New Roman" w:cs="Times New Roman"/>
          <w:sz w:val="24"/>
          <w:szCs w:val="24"/>
        </w:rPr>
        <w:t xml:space="preserve">signal amplitudes </w:t>
      </w:r>
      <w:r w:rsidR="00EE520D" w:rsidRPr="00245623">
        <w:rPr>
          <w:rFonts w:ascii="Times New Roman" w:hAnsi="Times New Roman" w:cs="Times New Roman"/>
          <w:sz w:val="24"/>
          <w:szCs w:val="24"/>
        </w:rPr>
        <w:t>did not change</w:t>
      </w:r>
      <w:r w:rsidR="00F372AA" w:rsidRPr="00245623">
        <w:rPr>
          <w:rFonts w:ascii="Times New Roman" w:hAnsi="Times New Roman" w:cs="Times New Roman"/>
          <w:sz w:val="24"/>
          <w:szCs w:val="24"/>
        </w:rPr>
        <w:t xml:space="preserve"> significantly</w:t>
      </w:r>
      <w:r w:rsidR="00EE520D" w:rsidRPr="00245623">
        <w:rPr>
          <w:rFonts w:ascii="Times New Roman" w:hAnsi="Times New Roman" w:cs="Times New Roman"/>
          <w:sz w:val="24"/>
          <w:szCs w:val="24"/>
        </w:rPr>
        <w:t xml:space="preserve"> between </w:t>
      </w:r>
      <w:r w:rsidR="00530381" w:rsidRPr="00245623">
        <w:rPr>
          <w:rFonts w:ascii="Times New Roman" w:hAnsi="Times New Roman" w:cs="Times New Roman"/>
          <w:sz w:val="24"/>
          <w:szCs w:val="24"/>
        </w:rPr>
        <w:t>CPZ</w:t>
      </w:r>
      <w:r w:rsidR="00EE520D" w:rsidRPr="00245623">
        <w:rPr>
          <w:rFonts w:ascii="Times New Roman" w:hAnsi="Times New Roman" w:cs="Times New Roman"/>
          <w:sz w:val="24"/>
          <w:szCs w:val="24"/>
        </w:rPr>
        <w:t xml:space="preserve"> and control mice (data not shown), the concentrations of </w:t>
      </w:r>
      <w:proofErr w:type="spellStart"/>
      <w:r w:rsidR="00EE520D" w:rsidRPr="00245623">
        <w:rPr>
          <w:rFonts w:ascii="Times New Roman" w:hAnsi="Times New Roman" w:cs="Times New Roman"/>
          <w:sz w:val="24"/>
          <w:szCs w:val="24"/>
        </w:rPr>
        <w:t>mIns</w:t>
      </w:r>
      <w:proofErr w:type="spellEnd"/>
      <w:r w:rsidR="00501909" w:rsidRPr="00245623">
        <w:rPr>
          <w:rFonts w:ascii="Times New Roman" w:hAnsi="Times New Roman" w:cs="Times New Roman"/>
          <w:sz w:val="24"/>
          <w:szCs w:val="24"/>
        </w:rPr>
        <w:t xml:space="preserve">, </w:t>
      </w:r>
      <w:proofErr w:type="spellStart"/>
      <w:r w:rsidR="00501909" w:rsidRPr="00245623">
        <w:rPr>
          <w:rFonts w:ascii="Times New Roman" w:hAnsi="Times New Roman" w:cs="Times New Roman"/>
          <w:sz w:val="24"/>
          <w:szCs w:val="24"/>
        </w:rPr>
        <w:t>tCho</w:t>
      </w:r>
      <w:proofErr w:type="spellEnd"/>
      <w:r w:rsidR="004423DE" w:rsidRPr="00245623">
        <w:rPr>
          <w:rFonts w:ascii="Times New Roman" w:hAnsi="Times New Roman" w:cs="Times New Roman"/>
          <w:sz w:val="24"/>
          <w:szCs w:val="24"/>
        </w:rPr>
        <w:t xml:space="preserve"> and </w:t>
      </w:r>
      <w:proofErr w:type="spellStart"/>
      <w:r w:rsidR="004423DE" w:rsidRPr="00245623">
        <w:rPr>
          <w:rFonts w:ascii="Times New Roman" w:hAnsi="Times New Roman" w:cs="Times New Roman"/>
          <w:sz w:val="24"/>
          <w:szCs w:val="24"/>
        </w:rPr>
        <w:t>tNAA</w:t>
      </w:r>
      <w:proofErr w:type="spellEnd"/>
      <w:r w:rsidR="004423DE" w:rsidRPr="00245623">
        <w:rPr>
          <w:rFonts w:ascii="Times New Roman" w:hAnsi="Times New Roman" w:cs="Times New Roman"/>
          <w:sz w:val="24"/>
          <w:szCs w:val="24"/>
        </w:rPr>
        <w:t xml:space="preserve"> </w:t>
      </w:r>
      <w:r w:rsidR="00EE520D" w:rsidRPr="00245623">
        <w:rPr>
          <w:rFonts w:ascii="Times New Roman" w:hAnsi="Times New Roman" w:cs="Times New Roman"/>
          <w:sz w:val="24"/>
          <w:szCs w:val="24"/>
        </w:rPr>
        <w:t xml:space="preserve">were reported relative to the </w:t>
      </w:r>
      <w:proofErr w:type="spellStart"/>
      <w:r w:rsidR="00EE520D" w:rsidRPr="00245623">
        <w:rPr>
          <w:rFonts w:ascii="Times New Roman" w:hAnsi="Times New Roman" w:cs="Times New Roman"/>
          <w:sz w:val="24"/>
          <w:szCs w:val="24"/>
        </w:rPr>
        <w:t>tCr</w:t>
      </w:r>
      <w:proofErr w:type="spellEnd"/>
      <w:r w:rsidR="00EE520D" w:rsidRPr="00245623">
        <w:rPr>
          <w:rFonts w:ascii="Times New Roman" w:hAnsi="Times New Roman" w:cs="Times New Roman"/>
          <w:sz w:val="24"/>
          <w:szCs w:val="24"/>
        </w:rPr>
        <w:t xml:space="preserve"> </w:t>
      </w:r>
      <w:r w:rsidR="00D47EC7" w:rsidRPr="00245623">
        <w:rPr>
          <w:rFonts w:ascii="Times New Roman" w:hAnsi="Times New Roman" w:cs="Times New Roman"/>
          <w:sz w:val="24"/>
          <w:szCs w:val="24"/>
        </w:rPr>
        <w:t>signals</w:t>
      </w:r>
      <w:r w:rsidR="00EE520D" w:rsidRPr="00245623">
        <w:rPr>
          <w:rFonts w:ascii="Times New Roman" w:hAnsi="Times New Roman" w:cs="Times New Roman"/>
          <w:sz w:val="24"/>
          <w:szCs w:val="24"/>
        </w:rPr>
        <w:t xml:space="preserve">, in order to reduce the </w:t>
      </w:r>
      <w:r w:rsidR="00BA41DA" w:rsidRPr="00245623">
        <w:rPr>
          <w:rFonts w:ascii="Times New Roman" w:hAnsi="Times New Roman" w:cs="Times New Roman"/>
          <w:sz w:val="24"/>
          <w:szCs w:val="24"/>
        </w:rPr>
        <w:t>variability due to</w:t>
      </w:r>
      <w:r w:rsidR="00DE4EE0" w:rsidRPr="00245623">
        <w:rPr>
          <w:rFonts w:ascii="Times New Roman" w:hAnsi="Times New Roman" w:cs="Times New Roman"/>
          <w:sz w:val="24"/>
          <w:szCs w:val="24"/>
        </w:rPr>
        <w:t xml:space="preserve"> </w:t>
      </w:r>
      <w:r w:rsidR="00D412BF" w:rsidRPr="00245623">
        <w:rPr>
          <w:rFonts w:ascii="Times New Roman" w:hAnsi="Times New Roman" w:cs="Times New Roman"/>
          <w:sz w:val="24"/>
          <w:szCs w:val="24"/>
        </w:rPr>
        <w:t xml:space="preserve">partial volume effects and </w:t>
      </w:r>
      <w:r w:rsidR="00DE4EE0" w:rsidRPr="00245623">
        <w:rPr>
          <w:rFonts w:ascii="Times New Roman" w:hAnsi="Times New Roman" w:cs="Times New Roman"/>
          <w:sz w:val="24"/>
          <w:szCs w:val="24"/>
        </w:rPr>
        <w:t>water</w:t>
      </w:r>
      <w:r w:rsidR="00EE520D" w:rsidRPr="00245623">
        <w:rPr>
          <w:rFonts w:ascii="Times New Roman" w:hAnsi="Times New Roman" w:cs="Times New Roman"/>
          <w:sz w:val="24"/>
          <w:szCs w:val="24"/>
        </w:rPr>
        <w:t xml:space="preserve"> relaxation</w:t>
      </w:r>
      <w:r w:rsidR="00C767DF" w:rsidRPr="00245623">
        <w:rPr>
          <w:rFonts w:ascii="Times New Roman" w:hAnsi="Times New Roman" w:cs="Times New Roman"/>
          <w:sz w:val="24"/>
          <w:szCs w:val="24"/>
        </w:rPr>
        <w:t xml:space="preserve"> rates</w:t>
      </w:r>
      <w:r w:rsidR="00EE520D" w:rsidRPr="00245623">
        <w:rPr>
          <w:rFonts w:ascii="Times New Roman" w:hAnsi="Times New Roman" w:cs="Times New Roman"/>
          <w:sz w:val="24"/>
          <w:szCs w:val="24"/>
        </w:rPr>
        <w:t xml:space="preserve">. </w:t>
      </w:r>
      <w:r w:rsidR="005C7760" w:rsidRPr="00245623">
        <w:rPr>
          <w:rFonts w:ascii="Times New Roman" w:hAnsi="Times New Roman" w:cs="Times New Roman"/>
          <w:sz w:val="24"/>
          <w:szCs w:val="24"/>
        </w:rPr>
        <w:t xml:space="preserve">ADCs and concentrations of Tau and </w:t>
      </w:r>
      <w:proofErr w:type="spellStart"/>
      <w:r w:rsidR="005C7760" w:rsidRPr="00245623">
        <w:rPr>
          <w:rFonts w:ascii="Times New Roman" w:hAnsi="Times New Roman" w:cs="Times New Roman"/>
          <w:sz w:val="24"/>
          <w:szCs w:val="24"/>
        </w:rPr>
        <w:t>Glu</w:t>
      </w:r>
      <w:proofErr w:type="spellEnd"/>
      <w:r w:rsidR="005C7760" w:rsidRPr="00245623">
        <w:rPr>
          <w:rFonts w:ascii="Times New Roman" w:hAnsi="Times New Roman" w:cs="Times New Roman"/>
          <w:sz w:val="24"/>
          <w:szCs w:val="24"/>
        </w:rPr>
        <w:t xml:space="preserve"> were also evaluated.</w:t>
      </w:r>
    </w:p>
    <w:p w14:paraId="5F4B41F4" w14:textId="77777777" w:rsidR="008D5904" w:rsidRPr="00245623" w:rsidRDefault="008D5904" w:rsidP="00432627">
      <w:pPr>
        <w:spacing w:line="480" w:lineRule="auto"/>
        <w:jc w:val="both"/>
        <w:rPr>
          <w:b/>
          <w:iCs/>
          <w:lang w:val="en-US"/>
        </w:rPr>
      </w:pPr>
      <w:bookmarkStart w:id="11" w:name="_Toc23067516"/>
      <w:bookmarkEnd w:id="11"/>
    </w:p>
    <w:p w14:paraId="652E0F6C" w14:textId="6C49240C" w:rsidR="00BE7097" w:rsidRPr="00245623" w:rsidRDefault="006B5E60" w:rsidP="00432627">
      <w:pPr>
        <w:spacing w:line="480" w:lineRule="auto"/>
        <w:jc w:val="both"/>
        <w:rPr>
          <w:b/>
          <w:iCs/>
          <w:sz w:val="26"/>
          <w:szCs w:val="26"/>
          <w:lang w:val="en-US"/>
        </w:rPr>
      </w:pPr>
      <w:r w:rsidRPr="00245623">
        <w:rPr>
          <w:b/>
          <w:iCs/>
          <w:sz w:val="26"/>
          <w:szCs w:val="26"/>
          <w:lang w:val="en-US"/>
        </w:rPr>
        <w:t xml:space="preserve">2.7 </w:t>
      </w:r>
      <w:r w:rsidR="00EE520D" w:rsidRPr="00245623">
        <w:rPr>
          <w:b/>
          <w:iCs/>
          <w:sz w:val="26"/>
          <w:szCs w:val="26"/>
          <w:lang w:val="en-US"/>
        </w:rPr>
        <w:t xml:space="preserve">Immunohistochemistry </w:t>
      </w:r>
    </w:p>
    <w:p w14:paraId="33127DA6" w14:textId="58569ECC" w:rsidR="00BE7097" w:rsidRPr="00245623" w:rsidRDefault="00760701" w:rsidP="00432627">
      <w:pPr>
        <w:spacing w:line="480" w:lineRule="auto"/>
        <w:jc w:val="both"/>
        <w:rPr>
          <w:lang w:val="en-US"/>
        </w:rPr>
      </w:pPr>
      <w:r w:rsidRPr="00245623">
        <w:rPr>
          <w:lang w:val="en-US"/>
        </w:rPr>
        <w:t>Just after completion of the DW-MRS data collection,  f</w:t>
      </w:r>
      <w:r w:rsidR="0068459B" w:rsidRPr="00245623">
        <w:rPr>
          <w:lang w:val="en-US"/>
        </w:rPr>
        <w:t xml:space="preserve">our CPZ and </w:t>
      </w:r>
      <w:r w:rsidR="00C632B5" w:rsidRPr="00245623">
        <w:rPr>
          <w:lang w:val="en-US"/>
        </w:rPr>
        <w:t xml:space="preserve">five </w:t>
      </w:r>
      <w:r w:rsidR="00B515F3" w:rsidRPr="00245623">
        <w:rPr>
          <w:lang w:val="en-US"/>
        </w:rPr>
        <w:t>control mice</w:t>
      </w:r>
      <w:r w:rsidR="0068459B" w:rsidRPr="00245623">
        <w:rPr>
          <w:lang w:val="en-US"/>
        </w:rPr>
        <w:t xml:space="preserve"> were sacrificed for </w:t>
      </w:r>
      <w:r w:rsidR="00A8194A" w:rsidRPr="00245623">
        <w:rPr>
          <w:lang w:val="en-US"/>
        </w:rPr>
        <w:t>IHC</w:t>
      </w:r>
      <w:r w:rsidR="0068459B" w:rsidRPr="00245623">
        <w:rPr>
          <w:lang w:val="en-US"/>
        </w:rPr>
        <w:t xml:space="preserve"> assessment.</w:t>
      </w:r>
      <w:r w:rsidR="007E1E16" w:rsidRPr="00245623">
        <w:rPr>
          <w:lang w:val="en-US"/>
        </w:rPr>
        <w:t xml:space="preserve"> The animals</w:t>
      </w:r>
      <w:r w:rsidR="00EE520D" w:rsidRPr="00245623">
        <w:rPr>
          <w:color w:val="00000A"/>
          <w:lang w:val="en-US"/>
        </w:rPr>
        <w:t xml:space="preserve"> </w:t>
      </w:r>
      <w:r w:rsidR="00EE520D" w:rsidRPr="00245623">
        <w:rPr>
          <w:shd w:val="clear" w:color="auto" w:fill="FFFFFF"/>
          <w:lang w:val="en-US"/>
        </w:rPr>
        <w:t xml:space="preserve">were </w:t>
      </w:r>
      <w:r w:rsidR="005321EB" w:rsidRPr="00245623">
        <w:rPr>
          <w:shd w:val="clear" w:color="auto" w:fill="FFFFFF"/>
          <w:lang w:val="en-US"/>
        </w:rPr>
        <w:t xml:space="preserve">deeply anesthetized with a lethal </w:t>
      </w:r>
      <w:r w:rsidR="00C632B5" w:rsidRPr="00245623">
        <w:rPr>
          <w:shd w:val="clear" w:color="auto" w:fill="FFFFFF"/>
          <w:lang w:val="en-US"/>
        </w:rPr>
        <w:t xml:space="preserve">dose </w:t>
      </w:r>
      <w:r w:rsidR="005321EB" w:rsidRPr="00245623">
        <w:rPr>
          <w:shd w:val="clear" w:color="auto" w:fill="FFFFFF"/>
          <w:lang w:val="en-US"/>
        </w:rPr>
        <w:t xml:space="preserve">of </w:t>
      </w:r>
      <w:proofErr w:type="spellStart"/>
      <w:r w:rsidR="005321EB" w:rsidRPr="00245623">
        <w:rPr>
          <w:shd w:val="clear" w:color="auto" w:fill="FFFFFF"/>
          <w:lang w:val="en-US"/>
        </w:rPr>
        <w:t>Euthasol</w:t>
      </w:r>
      <w:proofErr w:type="spellEnd"/>
      <w:r w:rsidR="005321EB" w:rsidRPr="00245623">
        <w:rPr>
          <w:shd w:val="clear" w:color="auto" w:fill="FFFFFF"/>
          <w:lang w:val="en-US"/>
        </w:rPr>
        <w:t xml:space="preserve"> (400 mg/ml, 100 mg/kg) prior to a</w:t>
      </w:r>
      <w:r w:rsidR="00EE520D" w:rsidRPr="00245623">
        <w:rPr>
          <w:shd w:val="clear" w:color="auto" w:fill="FFFFFF"/>
          <w:lang w:val="en-US"/>
        </w:rPr>
        <w:t xml:space="preserve"> </w:t>
      </w:r>
      <w:proofErr w:type="spellStart"/>
      <w:r w:rsidR="005321EB" w:rsidRPr="00245623">
        <w:rPr>
          <w:shd w:val="clear" w:color="auto" w:fill="FFFFFF"/>
          <w:lang w:val="en-US"/>
        </w:rPr>
        <w:t>transcardiac</w:t>
      </w:r>
      <w:proofErr w:type="spellEnd"/>
      <w:r w:rsidR="005321EB" w:rsidRPr="00245623">
        <w:rPr>
          <w:shd w:val="clear" w:color="auto" w:fill="FFFFFF"/>
          <w:lang w:val="en-US"/>
        </w:rPr>
        <w:t xml:space="preserve"> perfusion </w:t>
      </w:r>
      <w:r w:rsidR="00EE520D" w:rsidRPr="00245623">
        <w:rPr>
          <w:shd w:val="clear" w:color="auto" w:fill="FFFFFF"/>
          <w:lang w:val="en-US"/>
        </w:rPr>
        <w:t xml:space="preserve">with 4% paraformaldehyde (PFA). The brains were rapidly removed and post-fixed in 4% paraformaldehyde for 24 hours, prior to cryoprotection in a 25% sucrose/phosphate buffer saline (PBS) solution. </w:t>
      </w:r>
      <w:r w:rsidR="00EE520D" w:rsidRPr="00245623">
        <w:rPr>
          <w:lang w:val="en-US"/>
        </w:rPr>
        <w:t xml:space="preserve">The brains were then frozen at -50°C using </w:t>
      </w:r>
      <w:proofErr w:type="spellStart"/>
      <w:r w:rsidR="00EE520D" w:rsidRPr="00245623">
        <w:rPr>
          <w:lang w:val="en-US"/>
        </w:rPr>
        <w:t>isopentane</w:t>
      </w:r>
      <w:proofErr w:type="spellEnd"/>
      <w:r w:rsidR="00EE520D" w:rsidRPr="00245623">
        <w:rPr>
          <w:lang w:val="en-US"/>
        </w:rPr>
        <w:t xml:space="preserve">. </w:t>
      </w:r>
      <w:r w:rsidR="008372F9" w:rsidRPr="00245623">
        <w:rPr>
          <w:lang w:val="en-US"/>
        </w:rPr>
        <w:t>S</w:t>
      </w:r>
      <w:r w:rsidR="00EE520D" w:rsidRPr="00245623">
        <w:rPr>
          <w:lang w:val="en-US"/>
        </w:rPr>
        <w:t xml:space="preserve">agittal sections were cut using a cryostat with a thickness of </w:t>
      </w:r>
      <w:r w:rsidRPr="00245623">
        <w:rPr>
          <w:lang w:val="en-US"/>
        </w:rPr>
        <w:t>25</w:t>
      </w:r>
      <w:r w:rsidR="00EE520D" w:rsidRPr="00245623">
        <w:rPr>
          <w:lang w:val="en-US"/>
        </w:rPr>
        <w:t xml:space="preserve"> </w:t>
      </w:r>
      <w:proofErr w:type="spellStart"/>
      <w:r w:rsidR="00EE520D" w:rsidRPr="00245623">
        <w:rPr>
          <w:lang w:val="en-US"/>
        </w:rPr>
        <w:t>μm</w:t>
      </w:r>
      <w:proofErr w:type="spellEnd"/>
      <w:r w:rsidR="00EE520D" w:rsidRPr="00245623">
        <w:rPr>
          <w:lang w:val="en-US"/>
        </w:rPr>
        <w:t xml:space="preserve"> that were regularly spaced</w:t>
      </w:r>
      <w:r w:rsidRPr="00245623">
        <w:rPr>
          <w:lang w:val="en-US"/>
        </w:rPr>
        <w:t xml:space="preserve"> at 120-240 </w:t>
      </w:r>
      <w:proofErr w:type="spellStart"/>
      <w:r w:rsidR="00856758" w:rsidRPr="00245623">
        <w:rPr>
          <w:lang w:val="en-US"/>
        </w:rPr>
        <w:t>μ</w:t>
      </w:r>
      <w:r w:rsidRPr="00245623">
        <w:rPr>
          <w:lang w:val="en-US"/>
        </w:rPr>
        <w:t>m</w:t>
      </w:r>
      <w:proofErr w:type="spellEnd"/>
      <w:r w:rsidRPr="00245623">
        <w:rPr>
          <w:lang w:val="en-US"/>
        </w:rPr>
        <w:t xml:space="preserve"> intervals</w:t>
      </w:r>
      <w:r w:rsidR="00EE520D" w:rsidRPr="00245623">
        <w:rPr>
          <w:lang w:val="en-US"/>
        </w:rPr>
        <w:t>.</w:t>
      </w:r>
      <w:r w:rsidR="00795E00" w:rsidRPr="00245623">
        <w:rPr>
          <w:lang w:val="en-US"/>
        </w:rPr>
        <w:t xml:space="preserve"> </w:t>
      </w:r>
    </w:p>
    <w:p w14:paraId="676B13DB" w14:textId="633D86CF" w:rsidR="00BE7097" w:rsidRPr="00245623" w:rsidRDefault="00EE520D" w:rsidP="00432627">
      <w:pPr>
        <w:spacing w:line="480" w:lineRule="auto"/>
        <w:jc w:val="both"/>
        <w:rPr>
          <w:lang w:val="en-US"/>
        </w:rPr>
      </w:pPr>
      <w:r w:rsidRPr="00245623">
        <w:rPr>
          <w:lang w:val="en-US"/>
        </w:rPr>
        <w:t xml:space="preserve">Only one hemisphere was used and sections were collected from 0.96 mm relative to the </w:t>
      </w:r>
      <w:proofErr w:type="spellStart"/>
      <w:r w:rsidRPr="00245623">
        <w:rPr>
          <w:lang w:val="en-US"/>
        </w:rPr>
        <w:t>Bregma</w:t>
      </w:r>
      <w:proofErr w:type="spellEnd"/>
      <w:r w:rsidRPr="00245623">
        <w:rPr>
          <w:lang w:val="en-US"/>
        </w:rPr>
        <w:t xml:space="preserve"> until reaching the median line (-0.04 mm from the </w:t>
      </w:r>
      <w:proofErr w:type="spellStart"/>
      <w:r w:rsidRPr="00245623">
        <w:rPr>
          <w:lang w:val="en-US"/>
        </w:rPr>
        <w:t>Bregma</w:t>
      </w:r>
      <w:proofErr w:type="spellEnd"/>
      <w:r w:rsidRPr="00245623">
        <w:rPr>
          <w:lang w:val="en-US"/>
        </w:rPr>
        <w:t xml:space="preserve">).  </w:t>
      </w:r>
      <w:r w:rsidR="008372F9" w:rsidRPr="00245623">
        <w:rPr>
          <w:lang w:val="en-US"/>
        </w:rPr>
        <w:t xml:space="preserve">Up to </w:t>
      </w:r>
      <w:r w:rsidR="00795E00" w:rsidRPr="00245623">
        <w:rPr>
          <w:lang w:val="en-US"/>
        </w:rPr>
        <w:t>40</w:t>
      </w:r>
      <w:r w:rsidRPr="00245623">
        <w:rPr>
          <w:lang w:val="en-US"/>
        </w:rPr>
        <w:t xml:space="preserve"> </w:t>
      </w:r>
      <w:r w:rsidR="00F31381" w:rsidRPr="00245623">
        <w:rPr>
          <w:lang w:val="en-US"/>
        </w:rPr>
        <w:t xml:space="preserve">tissue </w:t>
      </w:r>
      <w:r w:rsidR="008372F9" w:rsidRPr="00245623">
        <w:rPr>
          <w:lang w:val="en-US"/>
        </w:rPr>
        <w:t>sections</w:t>
      </w:r>
      <w:r w:rsidRPr="00245623">
        <w:rPr>
          <w:lang w:val="en-US"/>
        </w:rPr>
        <w:t xml:space="preserve">, of </w:t>
      </w:r>
      <w:r w:rsidR="00795E00" w:rsidRPr="00245623">
        <w:rPr>
          <w:lang w:val="en-US"/>
        </w:rPr>
        <w:t xml:space="preserve">25 </w:t>
      </w:r>
      <w:proofErr w:type="spellStart"/>
      <w:r w:rsidRPr="00245623">
        <w:rPr>
          <w:lang w:val="en-US"/>
        </w:rPr>
        <w:t>μm</w:t>
      </w:r>
      <w:proofErr w:type="spellEnd"/>
      <w:r w:rsidRPr="00245623">
        <w:rPr>
          <w:lang w:val="en-US"/>
        </w:rPr>
        <w:t xml:space="preserve"> each, per animal, w</w:t>
      </w:r>
      <w:r w:rsidR="00F31381" w:rsidRPr="00245623">
        <w:rPr>
          <w:lang w:val="en-US"/>
        </w:rPr>
        <w:t>ere</w:t>
      </w:r>
      <w:r w:rsidRPr="00245623">
        <w:rPr>
          <w:lang w:val="en-US"/>
        </w:rPr>
        <w:t xml:space="preserve"> harvested. For analysis</w:t>
      </w:r>
      <w:r w:rsidR="00795E00" w:rsidRPr="00245623">
        <w:rPr>
          <w:lang w:val="en-US"/>
        </w:rPr>
        <w:t>,</w:t>
      </w:r>
      <w:r w:rsidRPr="00245623">
        <w:rPr>
          <w:lang w:val="en-US"/>
        </w:rPr>
        <w:t xml:space="preserve"> </w:t>
      </w:r>
      <w:r w:rsidR="00795E00" w:rsidRPr="00245623">
        <w:rPr>
          <w:lang w:val="en-US"/>
        </w:rPr>
        <w:t>4</w:t>
      </w:r>
      <w:r w:rsidRPr="00245623">
        <w:rPr>
          <w:lang w:val="en-US"/>
        </w:rPr>
        <w:t xml:space="preserve"> </w:t>
      </w:r>
      <w:r w:rsidR="00F31381" w:rsidRPr="00245623">
        <w:rPr>
          <w:lang w:val="en-US"/>
        </w:rPr>
        <w:t>tissue sections</w:t>
      </w:r>
      <w:r w:rsidRPr="00245623">
        <w:rPr>
          <w:lang w:val="en-US"/>
        </w:rPr>
        <w:t xml:space="preserve"> </w:t>
      </w:r>
      <w:r w:rsidR="002631D7" w:rsidRPr="00245623">
        <w:rPr>
          <w:lang w:val="en-US"/>
        </w:rPr>
        <w:t xml:space="preserve">located </w:t>
      </w:r>
      <w:r w:rsidRPr="00245623">
        <w:rPr>
          <w:lang w:val="en-US"/>
        </w:rPr>
        <w:t xml:space="preserve">at different </w:t>
      </w:r>
      <w:r w:rsidR="00F31381" w:rsidRPr="00245623">
        <w:rPr>
          <w:lang w:val="en-US"/>
        </w:rPr>
        <w:t xml:space="preserve">levels </w:t>
      </w:r>
      <w:r w:rsidRPr="00245623">
        <w:rPr>
          <w:lang w:val="en-US"/>
        </w:rPr>
        <w:t xml:space="preserve">from </w:t>
      </w:r>
      <w:proofErr w:type="spellStart"/>
      <w:r w:rsidRPr="00245623">
        <w:rPr>
          <w:lang w:val="en-US"/>
        </w:rPr>
        <w:t>Bregma</w:t>
      </w:r>
      <w:proofErr w:type="spellEnd"/>
      <w:r w:rsidRPr="00245623">
        <w:rPr>
          <w:lang w:val="en-US"/>
        </w:rPr>
        <w:t xml:space="preserve"> </w:t>
      </w:r>
      <w:r w:rsidR="00F31381" w:rsidRPr="00245623">
        <w:rPr>
          <w:lang w:val="en-US"/>
        </w:rPr>
        <w:t xml:space="preserve">were selected </w:t>
      </w:r>
      <w:r w:rsidR="002631D7" w:rsidRPr="00245623">
        <w:rPr>
          <w:lang w:val="en-US"/>
        </w:rPr>
        <w:t xml:space="preserve">for each mouse. These sections were carefully chosen </w:t>
      </w:r>
      <w:r w:rsidRPr="00245623">
        <w:rPr>
          <w:lang w:val="en-US"/>
        </w:rPr>
        <w:t xml:space="preserve">such that they covered the same region of the brain for </w:t>
      </w:r>
      <w:r w:rsidR="002631D7" w:rsidRPr="00245623">
        <w:rPr>
          <w:lang w:val="en-US"/>
        </w:rPr>
        <w:t xml:space="preserve">all </w:t>
      </w:r>
      <w:r w:rsidRPr="00245623">
        <w:rPr>
          <w:lang w:val="en-US"/>
        </w:rPr>
        <w:t>animal</w:t>
      </w:r>
      <w:r w:rsidR="002631D7" w:rsidRPr="00245623">
        <w:rPr>
          <w:lang w:val="en-US"/>
        </w:rPr>
        <w:t>s</w:t>
      </w:r>
      <w:r w:rsidRPr="00245623">
        <w:rPr>
          <w:lang w:val="en-US"/>
        </w:rPr>
        <w:t>.</w:t>
      </w:r>
    </w:p>
    <w:p w14:paraId="11E5AE80" w14:textId="77777777" w:rsidR="008D5904" w:rsidRPr="00245623" w:rsidRDefault="008D5904" w:rsidP="00432627">
      <w:pPr>
        <w:spacing w:line="480" w:lineRule="auto"/>
        <w:jc w:val="both"/>
        <w:rPr>
          <w:b/>
          <w:iCs/>
          <w:lang w:val="en-US"/>
        </w:rPr>
      </w:pPr>
    </w:p>
    <w:p w14:paraId="3364143B" w14:textId="346FF338" w:rsidR="00BE7097" w:rsidRPr="00245623" w:rsidRDefault="006B5E60" w:rsidP="00432627">
      <w:pPr>
        <w:spacing w:line="480" w:lineRule="auto"/>
        <w:jc w:val="both"/>
        <w:rPr>
          <w:b/>
          <w:sz w:val="26"/>
          <w:szCs w:val="26"/>
          <w:lang w:val="en-US"/>
        </w:rPr>
      </w:pPr>
      <w:r w:rsidRPr="00245623">
        <w:rPr>
          <w:b/>
          <w:iCs/>
          <w:sz w:val="26"/>
          <w:szCs w:val="26"/>
          <w:lang w:val="en-US"/>
        </w:rPr>
        <w:t xml:space="preserve">2.8 </w:t>
      </w:r>
      <w:r w:rsidR="00EE520D" w:rsidRPr="00245623">
        <w:rPr>
          <w:b/>
          <w:iCs/>
          <w:sz w:val="26"/>
          <w:szCs w:val="26"/>
          <w:lang w:val="en-US"/>
        </w:rPr>
        <w:t>Immunohistochemistry data analysis</w:t>
      </w:r>
    </w:p>
    <w:p w14:paraId="2168E9F6" w14:textId="63875CD8" w:rsidR="006405FD" w:rsidRPr="00245623" w:rsidRDefault="006405FD" w:rsidP="006405FD">
      <w:pPr>
        <w:spacing w:line="480" w:lineRule="auto"/>
        <w:jc w:val="both"/>
        <w:rPr>
          <w:lang w:val="en-US"/>
        </w:rPr>
      </w:pPr>
      <w:r w:rsidRPr="00245623">
        <w:rPr>
          <w:lang w:val="en-US"/>
        </w:rPr>
        <w:t>From the IHC samples, we estimated</w:t>
      </w:r>
      <w:r w:rsidR="00877C98" w:rsidRPr="00245623">
        <w:rPr>
          <w:lang w:val="en-US"/>
        </w:rPr>
        <w:t xml:space="preserve"> </w:t>
      </w:r>
      <w:r w:rsidRPr="00245623">
        <w:rPr>
          <w:lang w:val="en-US"/>
        </w:rPr>
        <w:t>astrocyte</w:t>
      </w:r>
      <w:r w:rsidR="00163468" w:rsidRPr="00245623">
        <w:rPr>
          <w:lang w:val="en-US"/>
        </w:rPr>
        <w:t xml:space="preserve"> area fraction</w:t>
      </w:r>
      <w:r w:rsidRPr="00245623">
        <w:rPr>
          <w:lang w:val="en-US"/>
        </w:rPr>
        <w:t xml:space="preserve"> (AAF), microglia </w:t>
      </w:r>
      <w:r w:rsidR="00163468" w:rsidRPr="00245623">
        <w:rPr>
          <w:lang w:val="en-US"/>
        </w:rPr>
        <w:t xml:space="preserve">area fraction </w:t>
      </w:r>
      <w:r w:rsidRPr="00245623">
        <w:rPr>
          <w:lang w:val="en-US"/>
        </w:rPr>
        <w:t>(MAF) and oligodendrocyte area fraction (OAF) in the corpus callosum. For immunofluorescence analysis of astrogliosis, microgliosis and oligodendrocyte de</w:t>
      </w:r>
      <w:r w:rsidR="00EA2D3F" w:rsidRPr="00245623">
        <w:rPr>
          <w:lang w:val="en-US"/>
        </w:rPr>
        <w:t>nsity</w:t>
      </w:r>
      <w:r w:rsidRPr="00245623">
        <w:rPr>
          <w:lang w:val="en-US"/>
        </w:rPr>
        <w:t xml:space="preserve"> the following antibodies were used </w:t>
      </w:r>
      <w:r w:rsidRPr="00245623">
        <w:rPr>
          <w:lang w:val="en-US"/>
        </w:rPr>
        <w:lastRenderedPageBreak/>
        <w:t>respectively: anti-GFAP (</w:t>
      </w:r>
      <w:r w:rsidR="00A53D20" w:rsidRPr="00245623">
        <w:rPr>
          <w:lang w:val="en-US"/>
        </w:rPr>
        <w:t>polyclonal rabbit anti-</w:t>
      </w:r>
      <w:r w:rsidR="005108F6" w:rsidRPr="00245623">
        <w:rPr>
          <w:lang w:val="en-US"/>
        </w:rPr>
        <w:t>glial fibrillary acidic protein</w:t>
      </w:r>
      <w:r w:rsidR="00A53D20" w:rsidRPr="00245623">
        <w:rPr>
          <w:lang w:val="en-US"/>
        </w:rPr>
        <w:t>, Agilent, 1:500 dilution</w:t>
      </w:r>
      <w:r w:rsidRPr="00245623">
        <w:rPr>
          <w:lang w:val="en-US"/>
        </w:rPr>
        <w:t>), anti-IBA1 (</w:t>
      </w:r>
      <w:r w:rsidR="00A53D20" w:rsidRPr="00245623">
        <w:rPr>
          <w:lang w:val="en-US"/>
        </w:rPr>
        <w:t>rabbit anti-</w:t>
      </w:r>
      <w:r w:rsidRPr="00245623">
        <w:rPr>
          <w:rFonts w:eastAsia="Liberation Serif"/>
          <w:lang w:val="en-US"/>
        </w:rPr>
        <w:t>adaptive molecule linking ionizing calcium 1</w:t>
      </w:r>
      <w:r w:rsidR="00A53D20" w:rsidRPr="00245623">
        <w:rPr>
          <w:rFonts w:eastAsia="Liberation Serif"/>
          <w:lang w:val="en-US"/>
        </w:rPr>
        <w:t xml:space="preserve">, </w:t>
      </w:r>
      <w:proofErr w:type="spellStart"/>
      <w:r w:rsidR="00A53D20" w:rsidRPr="00245623">
        <w:rPr>
          <w:lang w:val="en-US"/>
        </w:rPr>
        <w:t>Sobioda</w:t>
      </w:r>
      <w:proofErr w:type="spellEnd"/>
      <w:r w:rsidR="00A53D20" w:rsidRPr="00245623">
        <w:rPr>
          <w:lang w:val="en-US"/>
        </w:rPr>
        <w:t>, 1:500 dilution</w:t>
      </w:r>
      <w:r w:rsidRPr="00245623">
        <w:rPr>
          <w:rFonts w:eastAsia="Liberation Serif"/>
          <w:lang w:val="en-US"/>
        </w:rPr>
        <w:t>) and anti-CC1 (adenomatous polyposis coli oligodendrocyte proteins</w:t>
      </w:r>
      <w:r w:rsidR="00A53D20" w:rsidRPr="00245623">
        <w:rPr>
          <w:rFonts w:eastAsia="Liberation Serif"/>
          <w:lang w:val="en-US"/>
        </w:rPr>
        <w:t xml:space="preserve">, Anti-APC (Ab-7) mouse </w:t>
      </w:r>
      <w:proofErr w:type="spellStart"/>
      <w:r w:rsidR="00A53D20" w:rsidRPr="00245623">
        <w:rPr>
          <w:rFonts w:eastAsia="Liberation Serif"/>
          <w:lang w:val="en-US"/>
        </w:rPr>
        <w:t>mAb</w:t>
      </w:r>
      <w:proofErr w:type="spellEnd"/>
      <w:r w:rsidR="00A53D20" w:rsidRPr="00245623">
        <w:rPr>
          <w:rFonts w:eastAsia="Liberation Serif"/>
          <w:lang w:val="en-US"/>
        </w:rPr>
        <w:t xml:space="preserve"> (CC1), Merck, 1:100 dilution</w:t>
      </w:r>
      <w:r w:rsidRPr="00245623">
        <w:rPr>
          <w:rFonts w:eastAsia="Liberation Serif"/>
          <w:lang w:val="en-US"/>
        </w:rPr>
        <w:t xml:space="preserve">). </w:t>
      </w:r>
      <w:r w:rsidRPr="00245623">
        <w:rPr>
          <w:lang w:val="en-US"/>
        </w:rPr>
        <w:t xml:space="preserve">A series consisting of ten slices </w:t>
      </w:r>
      <w:r w:rsidR="006C3F8E" w:rsidRPr="00245623">
        <w:rPr>
          <w:lang w:val="en-US"/>
        </w:rPr>
        <w:t xml:space="preserve">per animal </w:t>
      </w:r>
      <w:r w:rsidRPr="00245623">
        <w:rPr>
          <w:lang w:val="en-US"/>
        </w:rPr>
        <w:t xml:space="preserve">were scanned with the X20 lens and Z-stacked with the Carl ZEISS </w:t>
      </w:r>
      <w:proofErr w:type="spellStart"/>
      <w:r w:rsidRPr="00245623">
        <w:rPr>
          <w:lang w:val="en-US"/>
        </w:rPr>
        <w:t>Axio</w:t>
      </w:r>
      <w:proofErr w:type="spellEnd"/>
      <w:r w:rsidRPr="00245623">
        <w:rPr>
          <w:lang w:val="en-US"/>
        </w:rPr>
        <w:t xml:space="preserve"> Scan.Z1 scanner. All analyses were performed in the body of the corpus callosum. The </w:t>
      </w:r>
      <w:r w:rsidRPr="00245623">
        <w:rPr>
          <w:color w:val="000000"/>
          <w:lang w:val="en-US"/>
        </w:rPr>
        <w:t xml:space="preserve">ImageJ software </w:t>
      </w:r>
      <w:r w:rsidR="00BA76C6" w:rsidRPr="00245623">
        <w:rPr>
          <w:lang w:val="en-US"/>
        </w:rPr>
        <w:fldChar w:fldCharType="begin"/>
      </w:r>
      <w:r w:rsidR="00AC7306" w:rsidRPr="00245623">
        <w:rPr>
          <w:lang w:val="en-US"/>
        </w:rPr>
        <w:instrText xml:space="preserve"> ADDIN ZOTERO_ITEM CSL_CITATION {"citationID":"a1admh3o2sk","properties":{"formattedCitation":"\\super 31\\nosupersub{}","plainCitation":"31","noteIndex":0},"citationItems":[{"id":"yEIY31OZ/vmWAQIL7","uris":["http://zotero.org/users/local/NqRmoWsl/items/GELJC7X5"],"uri":["http://zotero.org/users/local/NqRmoWsl/items/GELJC7X5"],"itemData":{"id":162,"type":"article-journal","title":"NIH Image to ImageJ: 25 years of image analysis","container-title":"Nature Methods","page":"671-675","volume":"9","issue":"7","source":"DOI.org (Crossref)","abstract":"For the past twenty five years the NIH family of imaging software, NIH Image and ImageJ have been pioneers as open tools for scientific image analysis. We discuss the origins, challenges and solutions of these two programs, and how their history can serve to advise and inform other software projects.","DOI":"10.1038/nmeth.2089","ISSN":"1548-7091, 1548-7105","title-short":"NIH Image to ImageJ","journalAbbreviation":"Nat Methods","language":"en","author":[{"family":"Schneider","given":"Caroline A"},{"family":"Rasband","given":"Wayne S"},{"family":"Eliceiri","given":"Kevin W"}],"issued":{"date-parts":[["2012",7]]}}}],"schema":"https://github.com/citation-style-language/schema/raw/master/csl-citation.json"} </w:instrText>
      </w:r>
      <w:r w:rsidR="00BA76C6" w:rsidRPr="00245623">
        <w:rPr>
          <w:lang w:val="en-US"/>
        </w:rPr>
        <w:fldChar w:fldCharType="separate"/>
      </w:r>
      <w:bookmarkStart w:id="12" w:name="__Fieldmark__5793_2122895447"/>
      <w:bookmarkStart w:id="13" w:name="__Fieldmark__13552_283763394"/>
      <w:r w:rsidR="00AC7306" w:rsidRPr="00245623">
        <w:rPr>
          <w:color w:val="000000"/>
          <w:vertAlign w:val="superscript"/>
          <w:lang w:val="en-US"/>
        </w:rPr>
        <w:t>31</w:t>
      </w:r>
      <w:r w:rsidR="00BA76C6" w:rsidRPr="00245623">
        <w:rPr>
          <w:lang w:val="en-US"/>
        </w:rPr>
        <w:fldChar w:fldCharType="end"/>
      </w:r>
      <w:bookmarkEnd w:id="12"/>
      <w:bookmarkEnd w:id="13"/>
      <w:r w:rsidRPr="00245623">
        <w:rPr>
          <w:color w:val="000000"/>
          <w:lang w:val="en-US"/>
        </w:rPr>
        <w:t xml:space="preserve"> was used </w:t>
      </w:r>
      <w:r w:rsidR="00877C98" w:rsidRPr="00245623">
        <w:rPr>
          <w:color w:val="000000"/>
          <w:lang w:val="en-US"/>
        </w:rPr>
        <w:t>to quantify</w:t>
      </w:r>
      <w:r w:rsidRPr="00245623">
        <w:rPr>
          <w:color w:val="000000"/>
          <w:lang w:val="en-US"/>
        </w:rPr>
        <w:t xml:space="preserve"> the cells of interest. Because the </w:t>
      </w:r>
      <w:r w:rsidR="007B776A" w:rsidRPr="00245623">
        <w:rPr>
          <w:color w:val="000000"/>
          <w:lang w:val="en-US"/>
        </w:rPr>
        <w:t xml:space="preserve">irregular </w:t>
      </w:r>
      <w:r w:rsidRPr="00245623">
        <w:rPr>
          <w:color w:val="000000"/>
          <w:lang w:val="en-US"/>
        </w:rPr>
        <w:t xml:space="preserve">shape of microglia and astrocytes did not allow the establishment of a count in </w:t>
      </w:r>
      <w:r w:rsidR="00E34652" w:rsidRPr="00245623">
        <w:rPr>
          <w:color w:val="000000"/>
          <w:lang w:val="en-US"/>
        </w:rPr>
        <w:t xml:space="preserve">two </w:t>
      </w:r>
      <w:r w:rsidRPr="00245623">
        <w:rPr>
          <w:color w:val="000000"/>
          <w:lang w:val="en-US"/>
        </w:rPr>
        <w:t xml:space="preserve">dimensions, a measurement of area seemed more suitable. The microglial and astrocyte area quantification was carried out by computing the ratio of the area of the stained region to the area of the total selected region. </w:t>
      </w:r>
    </w:p>
    <w:p w14:paraId="50E443A1" w14:textId="77777777" w:rsidR="00BE7097" w:rsidRPr="00245623" w:rsidRDefault="00BE7097">
      <w:pPr>
        <w:rPr>
          <w:lang w:val="en-US"/>
        </w:rPr>
      </w:pPr>
    </w:p>
    <w:p w14:paraId="60035958" w14:textId="06A1106F" w:rsidR="00BE7097" w:rsidRPr="00245623" w:rsidRDefault="006B5E60" w:rsidP="008D5904">
      <w:pPr>
        <w:pStyle w:val="Titre3"/>
        <w:spacing w:line="480" w:lineRule="auto"/>
        <w:rPr>
          <w:rFonts w:ascii="Times New Roman" w:hAnsi="Times New Roman" w:cs="Times New Roman"/>
        </w:rPr>
      </w:pPr>
      <w:bookmarkStart w:id="14" w:name="_Toc23067517"/>
      <w:r w:rsidRPr="00245623">
        <w:rPr>
          <w:rFonts w:ascii="Times New Roman" w:hAnsi="Times New Roman" w:cs="Times New Roman"/>
        </w:rPr>
        <w:t xml:space="preserve">2.9 </w:t>
      </w:r>
      <w:r w:rsidR="00EE520D" w:rsidRPr="00245623">
        <w:rPr>
          <w:rFonts w:ascii="Times New Roman" w:hAnsi="Times New Roman" w:cs="Times New Roman"/>
        </w:rPr>
        <w:t>Statistical analysis</w:t>
      </w:r>
      <w:bookmarkEnd w:id="14"/>
      <w:r w:rsidR="00EE520D" w:rsidRPr="00245623">
        <w:rPr>
          <w:rFonts w:ascii="Times New Roman" w:hAnsi="Times New Roman" w:cs="Times New Roman"/>
        </w:rPr>
        <w:t xml:space="preserve"> </w:t>
      </w:r>
    </w:p>
    <w:p w14:paraId="5596A558" w14:textId="73CB7A2E" w:rsidR="00140740" w:rsidRPr="00245623" w:rsidRDefault="00140740">
      <w:pPr>
        <w:spacing w:line="480" w:lineRule="auto"/>
        <w:jc w:val="both"/>
        <w:rPr>
          <w:lang w:val="en-US"/>
        </w:rPr>
      </w:pPr>
      <w:r w:rsidRPr="00245623">
        <w:rPr>
          <w:lang w:val="en-US"/>
        </w:rPr>
        <w:t>In order to assess statistically significant differences in the metabolite signal decays between groups, analysis of variance (ANOVA) was performed for each metabolite with one between-subject factor (CPZ vs. control mice) and one within-subject factor (</w:t>
      </w:r>
      <w:r w:rsidRPr="00245623">
        <w:rPr>
          <w:i/>
          <w:lang w:val="en-US"/>
        </w:rPr>
        <w:t>b</w:t>
      </w:r>
      <w:r w:rsidRPr="00245623">
        <w:rPr>
          <w:lang w:val="en-US"/>
        </w:rPr>
        <w:t>-values). Tukey’s honestly significant difference tests were performed for multiple comparison corrections.</w:t>
      </w:r>
    </w:p>
    <w:p w14:paraId="1494AE22" w14:textId="4E5CB4F3" w:rsidR="00BE7097" w:rsidRPr="00245623" w:rsidRDefault="001A07B7">
      <w:pPr>
        <w:spacing w:line="480" w:lineRule="auto"/>
        <w:jc w:val="both"/>
        <w:rPr>
          <w:lang w:val="en-US"/>
        </w:rPr>
      </w:pPr>
      <w:r w:rsidRPr="00245623">
        <w:rPr>
          <w:lang w:val="en-US"/>
        </w:rPr>
        <w:t>Unp</w:t>
      </w:r>
      <w:r w:rsidR="00EE520D" w:rsidRPr="00245623">
        <w:rPr>
          <w:lang w:val="en-US"/>
        </w:rPr>
        <w:t>aired t-tests were performed to assess differences in metabolite ADC</w:t>
      </w:r>
      <w:r w:rsidR="00582EA6" w:rsidRPr="00245623">
        <w:rPr>
          <w:lang w:val="en-US"/>
        </w:rPr>
        <w:t>s</w:t>
      </w:r>
      <w:r w:rsidR="00A91C71" w:rsidRPr="00245623">
        <w:rPr>
          <w:lang w:val="en-US"/>
        </w:rPr>
        <w:t>, metabolite relative concentrations, and histology markers,</w:t>
      </w:r>
      <w:r w:rsidR="00EE520D" w:rsidRPr="00245623">
        <w:rPr>
          <w:lang w:val="en-US"/>
        </w:rPr>
        <w:t xml:space="preserve"> between CPZ and </w:t>
      </w:r>
      <w:r w:rsidR="00B515F3" w:rsidRPr="00245623">
        <w:rPr>
          <w:lang w:val="en-US"/>
        </w:rPr>
        <w:t>control</w:t>
      </w:r>
      <w:r w:rsidR="00A91C71" w:rsidRPr="00245623">
        <w:rPr>
          <w:lang w:val="en-US"/>
        </w:rPr>
        <w:t xml:space="preserve"> mice</w:t>
      </w:r>
      <w:r w:rsidR="00EE520D" w:rsidRPr="00245623">
        <w:rPr>
          <w:lang w:val="en-US"/>
        </w:rPr>
        <w:t xml:space="preserve">. Linear </w:t>
      </w:r>
      <w:r w:rsidR="00C317B1" w:rsidRPr="00245623">
        <w:rPr>
          <w:lang w:val="en-US"/>
        </w:rPr>
        <w:t>Pearson</w:t>
      </w:r>
      <w:r w:rsidR="00EE520D" w:rsidRPr="00245623">
        <w:rPr>
          <w:lang w:val="en-US"/>
        </w:rPr>
        <w:t xml:space="preserve"> correlation</w:t>
      </w:r>
      <w:r w:rsidR="003C27AC" w:rsidRPr="00245623">
        <w:rPr>
          <w:lang w:val="en-US"/>
        </w:rPr>
        <w:t>s</w:t>
      </w:r>
      <w:r w:rsidR="00EE520D" w:rsidRPr="00245623">
        <w:rPr>
          <w:lang w:val="en-US"/>
        </w:rPr>
        <w:t xml:space="preserve"> between </w:t>
      </w:r>
      <w:r w:rsidR="007B6F4F" w:rsidRPr="00245623">
        <w:rPr>
          <w:lang w:val="en-US"/>
        </w:rPr>
        <w:t>metabolite</w:t>
      </w:r>
      <w:r w:rsidR="003C27AC" w:rsidRPr="00245623">
        <w:rPr>
          <w:lang w:val="en-US"/>
        </w:rPr>
        <w:t xml:space="preserve"> ADCs</w:t>
      </w:r>
      <w:r w:rsidR="006405FD" w:rsidRPr="00245623">
        <w:rPr>
          <w:color w:val="00000A"/>
          <w:lang w:val="en-US"/>
        </w:rPr>
        <w:t xml:space="preserve"> and AAF and MAF </w:t>
      </w:r>
      <w:r w:rsidR="00EE520D" w:rsidRPr="00245623">
        <w:rPr>
          <w:color w:val="00000A"/>
          <w:lang w:val="en-US"/>
        </w:rPr>
        <w:t xml:space="preserve">were </w:t>
      </w:r>
      <w:r w:rsidR="003C27AC" w:rsidRPr="00245623">
        <w:rPr>
          <w:lang w:val="en-US"/>
        </w:rPr>
        <w:t>evaluated</w:t>
      </w:r>
      <w:r w:rsidR="000A29F1" w:rsidRPr="00245623">
        <w:rPr>
          <w:lang w:val="en-US"/>
        </w:rPr>
        <w:t xml:space="preserve"> both intra- and inter-cohort</w:t>
      </w:r>
      <w:r w:rsidR="00EE520D" w:rsidRPr="00245623">
        <w:rPr>
          <w:lang w:val="en-US"/>
        </w:rPr>
        <w:t xml:space="preserve">. A </w:t>
      </w:r>
      <w:r w:rsidR="00EE520D" w:rsidRPr="00245623">
        <w:rPr>
          <w:i/>
          <w:lang w:val="en-US"/>
        </w:rPr>
        <w:t>p</w:t>
      </w:r>
      <w:r w:rsidR="00EE520D" w:rsidRPr="00245623">
        <w:rPr>
          <w:lang w:val="en-US"/>
        </w:rPr>
        <w:t xml:space="preserve">-value &lt; 0.05 was considered to represent statistically significant differences or statistically significant correlations. </w:t>
      </w:r>
      <w:r w:rsidR="006405FD" w:rsidRPr="00245623">
        <w:rPr>
          <w:lang w:val="en-US"/>
        </w:rPr>
        <w:t>All statistical analyses were performed in MATLAB.</w:t>
      </w:r>
    </w:p>
    <w:p w14:paraId="2DEF89F1" w14:textId="77777777" w:rsidR="00636975" w:rsidRPr="00245623" w:rsidRDefault="00636975">
      <w:pPr>
        <w:spacing w:line="480" w:lineRule="auto"/>
        <w:jc w:val="both"/>
        <w:rPr>
          <w:color w:val="000000" w:themeColor="text1"/>
          <w:lang w:val="en-US"/>
        </w:rPr>
      </w:pPr>
    </w:p>
    <w:p w14:paraId="26E8F7F0" w14:textId="61817931" w:rsidR="00E673C3" w:rsidRPr="00245623" w:rsidRDefault="00E673C3" w:rsidP="006B5E60">
      <w:pPr>
        <w:pStyle w:val="Titre3"/>
        <w:numPr>
          <w:ilvl w:val="0"/>
          <w:numId w:val="3"/>
        </w:numPr>
        <w:spacing w:line="480" w:lineRule="auto"/>
        <w:rPr>
          <w:rFonts w:ascii="Times New Roman" w:hAnsi="Times New Roman" w:cs="Times New Roman"/>
          <w:sz w:val="28"/>
        </w:rPr>
      </w:pPr>
      <w:r w:rsidRPr="00245623">
        <w:rPr>
          <w:rFonts w:ascii="Times New Roman" w:hAnsi="Times New Roman" w:cs="Times New Roman"/>
          <w:sz w:val="28"/>
        </w:rPr>
        <w:t>Results</w:t>
      </w:r>
    </w:p>
    <w:p w14:paraId="527C84C2" w14:textId="6125D8D2" w:rsidR="00E2217F" w:rsidRPr="00245623" w:rsidRDefault="006B5E60" w:rsidP="00E2217F">
      <w:pPr>
        <w:pStyle w:val="Titre3"/>
        <w:rPr>
          <w:rFonts w:ascii="Times New Roman" w:hAnsi="Times New Roman" w:cs="Times New Roman"/>
        </w:rPr>
      </w:pPr>
      <w:r w:rsidRPr="00245623">
        <w:rPr>
          <w:rFonts w:ascii="Times New Roman" w:hAnsi="Times New Roman" w:cs="Times New Roman"/>
        </w:rPr>
        <w:t xml:space="preserve">3.1 </w:t>
      </w:r>
      <w:r w:rsidR="00E2217F" w:rsidRPr="00245623">
        <w:rPr>
          <w:rFonts w:ascii="Times New Roman" w:hAnsi="Times New Roman" w:cs="Times New Roman"/>
        </w:rPr>
        <w:t xml:space="preserve">DW-MRS </w:t>
      </w:r>
      <w:r w:rsidR="00A86E6B" w:rsidRPr="00245623">
        <w:rPr>
          <w:rFonts w:ascii="Times New Roman" w:hAnsi="Times New Roman" w:cs="Times New Roman"/>
        </w:rPr>
        <w:t xml:space="preserve">data </w:t>
      </w:r>
      <w:r w:rsidR="00E2217F" w:rsidRPr="00245623">
        <w:rPr>
          <w:rFonts w:ascii="Times New Roman" w:hAnsi="Times New Roman" w:cs="Times New Roman"/>
        </w:rPr>
        <w:t>quality</w:t>
      </w:r>
    </w:p>
    <w:p w14:paraId="0DFDE6C3" w14:textId="77777777" w:rsidR="00E2217F" w:rsidRPr="00245623" w:rsidRDefault="00E2217F" w:rsidP="00B0286C">
      <w:pPr>
        <w:pStyle w:val="Titre3"/>
        <w:rPr>
          <w:rFonts w:ascii="Times New Roman" w:hAnsi="Times New Roman" w:cs="Times New Roman"/>
        </w:rPr>
      </w:pPr>
    </w:p>
    <w:p w14:paraId="59296458" w14:textId="25C2F6D0" w:rsidR="00DB67D4" w:rsidRPr="00245623" w:rsidRDefault="00E2217F" w:rsidP="00DB67D4">
      <w:pPr>
        <w:pStyle w:val="NormalWeb"/>
        <w:spacing w:after="0" w:afterAutospacing="0" w:line="480" w:lineRule="auto"/>
        <w:jc w:val="both"/>
        <w:rPr>
          <w:lang w:val="en-US"/>
        </w:rPr>
      </w:pPr>
      <w:r w:rsidRPr="00245623">
        <w:rPr>
          <w:lang w:val="en-US"/>
        </w:rPr>
        <w:t xml:space="preserve">Figure </w:t>
      </w:r>
      <w:r w:rsidR="00021C24" w:rsidRPr="00245623">
        <w:rPr>
          <w:lang w:val="en-US"/>
        </w:rPr>
        <w:t>2</w:t>
      </w:r>
      <w:r w:rsidR="0069000C" w:rsidRPr="00245623">
        <w:rPr>
          <w:lang w:val="en-US"/>
        </w:rPr>
        <w:t>B</w:t>
      </w:r>
      <w:r w:rsidRPr="00245623">
        <w:rPr>
          <w:lang w:val="en-US"/>
        </w:rPr>
        <w:t xml:space="preserve"> shows </w:t>
      </w:r>
      <w:r w:rsidR="00E5646C" w:rsidRPr="00245623">
        <w:rPr>
          <w:lang w:val="en-US"/>
        </w:rPr>
        <w:t>the DW</w:t>
      </w:r>
      <w:r w:rsidR="00C15A82" w:rsidRPr="00245623">
        <w:rPr>
          <w:lang w:val="en-US"/>
        </w:rPr>
        <w:t xml:space="preserve"> </w:t>
      </w:r>
      <w:r w:rsidRPr="00245623">
        <w:rPr>
          <w:lang w:val="en-US"/>
        </w:rPr>
        <w:t xml:space="preserve">spectra acquired in </w:t>
      </w:r>
      <w:r w:rsidR="00E5646C" w:rsidRPr="00245623">
        <w:rPr>
          <w:lang w:val="en-US"/>
        </w:rPr>
        <w:t xml:space="preserve">the body of the corpus callosum in </w:t>
      </w:r>
      <w:r w:rsidR="00A86E6B" w:rsidRPr="00245623">
        <w:rPr>
          <w:lang w:val="en-US"/>
        </w:rPr>
        <w:t xml:space="preserve">one </w:t>
      </w:r>
      <w:r w:rsidR="00B515F3" w:rsidRPr="00245623">
        <w:rPr>
          <w:lang w:val="en-US"/>
        </w:rPr>
        <w:t>control</w:t>
      </w:r>
      <w:r w:rsidRPr="00245623">
        <w:rPr>
          <w:lang w:val="en-US"/>
        </w:rPr>
        <w:t xml:space="preserve"> and</w:t>
      </w:r>
      <w:r w:rsidR="00A86E6B" w:rsidRPr="00245623">
        <w:rPr>
          <w:lang w:val="en-US"/>
        </w:rPr>
        <w:t xml:space="preserve"> one</w:t>
      </w:r>
      <w:r w:rsidRPr="00245623">
        <w:rPr>
          <w:lang w:val="en-US"/>
        </w:rPr>
        <w:t xml:space="preserve"> CPZ</w:t>
      </w:r>
      <w:r w:rsidR="0069000C" w:rsidRPr="00245623">
        <w:rPr>
          <w:lang w:val="en-US"/>
        </w:rPr>
        <w:t xml:space="preserve"> </w:t>
      </w:r>
      <w:r w:rsidR="00A86E6B" w:rsidRPr="00245623">
        <w:rPr>
          <w:lang w:val="en-US"/>
        </w:rPr>
        <w:t>m</w:t>
      </w:r>
      <w:r w:rsidR="00C76A49" w:rsidRPr="00245623">
        <w:rPr>
          <w:lang w:val="en-US"/>
        </w:rPr>
        <w:t>ouse</w:t>
      </w:r>
      <w:r w:rsidR="00A86E6B" w:rsidRPr="00245623">
        <w:rPr>
          <w:lang w:val="en-US"/>
        </w:rPr>
        <w:t xml:space="preserve"> </w:t>
      </w:r>
      <w:r w:rsidRPr="00245623">
        <w:rPr>
          <w:lang w:val="en-US"/>
        </w:rPr>
        <w:t xml:space="preserve">at </w:t>
      </w:r>
      <w:r w:rsidR="00C15A82" w:rsidRPr="00245623">
        <w:rPr>
          <w:lang w:val="en-US"/>
        </w:rPr>
        <w:t xml:space="preserve">different </w:t>
      </w:r>
      <w:r w:rsidR="00C15A82" w:rsidRPr="00245623">
        <w:rPr>
          <w:i/>
          <w:lang w:val="en-US"/>
        </w:rPr>
        <w:t>b</w:t>
      </w:r>
      <w:r w:rsidR="00582EA6" w:rsidRPr="00245623">
        <w:rPr>
          <w:lang w:val="en-US"/>
        </w:rPr>
        <w:t>-</w:t>
      </w:r>
      <w:r w:rsidR="00C15A82" w:rsidRPr="00245623">
        <w:rPr>
          <w:lang w:val="en-US"/>
        </w:rPr>
        <w:t>values</w:t>
      </w:r>
      <w:r w:rsidR="0069000C" w:rsidRPr="00245623">
        <w:rPr>
          <w:lang w:val="en-US"/>
        </w:rPr>
        <w:t>.</w:t>
      </w:r>
      <w:r w:rsidR="00DB67D4" w:rsidRPr="00245623">
        <w:rPr>
          <w:lang w:val="en-US"/>
        </w:rPr>
        <w:t xml:space="preserve"> </w:t>
      </w:r>
      <w:r w:rsidR="007A5068" w:rsidRPr="00245623">
        <w:rPr>
          <w:lang w:val="en-US"/>
        </w:rPr>
        <w:t xml:space="preserve">The median linewidths (based on the </w:t>
      </w:r>
      <w:proofErr w:type="spellStart"/>
      <w:r w:rsidR="007A5068" w:rsidRPr="00245623">
        <w:rPr>
          <w:lang w:val="en-US"/>
        </w:rPr>
        <w:t>tCr</w:t>
      </w:r>
      <w:proofErr w:type="spellEnd"/>
      <w:r w:rsidR="007A5068" w:rsidRPr="00245623">
        <w:rPr>
          <w:lang w:val="en-US"/>
        </w:rPr>
        <w:t xml:space="preserve"> peak at 3.03 ppm) </w:t>
      </w:r>
      <w:r w:rsidR="00A56624" w:rsidRPr="00245623">
        <w:rPr>
          <w:lang w:val="en-US"/>
        </w:rPr>
        <w:t xml:space="preserve">for each </w:t>
      </w:r>
      <w:r w:rsidR="00A56624" w:rsidRPr="00245623">
        <w:rPr>
          <w:i/>
          <w:lang w:val="en-US"/>
        </w:rPr>
        <w:lastRenderedPageBreak/>
        <w:t>b</w:t>
      </w:r>
      <w:r w:rsidR="00A56624" w:rsidRPr="00245623">
        <w:rPr>
          <w:lang w:val="en-US"/>
        </w:rPr>
        <w:t xml:space="preserve">-value </w:t>
      </w:r>
      <w:r w:rsidR="007A5068" w:rsidRPr="00245623">
        <w:rPr>
          <w:lang w:val="en-US"/>
        </w:rPr>
        <w:t xml:space="preserve">were 18.0 </w:t>
      </w:r>
      <w:r w:rsidR="007A5068" w:rsidRPr="00245623">
        <w:rPr>
          <w:lang w:val="en-US"/>
        </w:rPr>
        <w:sym w:font="Symbol" w:char="F0B1"/>
      </w:r>
      <w:r w:rsidR="007A5068" w:rsidRPr="00245623">
        <w:rPr>
          <w:lang w:val="en-US"/>
        </w:rPr>
        <w:t xml:space="preserve"> 3.1 (</w:t>
      </w:r>
      <w:r w:rsidR="007A5068" w:rsidRPr="00245623">
        <w:rPr>
          <w:i/>
          <w:lang w:val="en-US"/>
        </w:rPr>
        <w:t>b</w:t>
      </w:r>
      <w:r w:rsidR="007A5068" w:rsidRPr="00245623">
        <w:rPr>
          <w:i/>
          <w:vertAlign w:val="subscript"/>
          <w:lang w:val="en-US"/>
        </w:rPr>
        <w:t>0</w:t>
      </w:r>
      <w:r w:rsidR="007A5068" w:rsidRPr="00245623">
        <w:rPr>
          <w:lang w:val="en-US"/>
        </w:rPr>
        <w:t xml:space="preserve">), 18.2 </w:t>
      </w:r>
      <w:r w:rsidR="007A5068" w:rsidRPr="00245623">
        <w:rPr>
          <w:lang w:val="en-US"/>
        </w:rPr>
        <w:sym w:font="Symbol" w:char="F0B1"/>
      </w:r>
      <w:r w:rsidR="007A5068" w:rsidRPr="00245623">
        <w:rPr>
          <w:lang w:val="en-US"/>
        </w:rPr>
        <w:t xml:space="preserve"> 3.0 (</w:t>
      </w:r>
      <w:r w:rsidR="007A5068" w:rsidRPr="00245623">
        <w:rPr>
          <w:i/>
          <w:lang w:val="en-US"/>
        </w:rPr>
        <w:t>b</w:t>
      </w:r>
      <w:r w:rsidR="007A5068" w:rsidRPr="00245623">
        <w:rPr>
          <w:i/>
          <w:vertAlign w:val="subscript"/>
          <w:lang w:val="en-US"/>
        </w:rPr>
        <w:t>1</w:t>
      </w:r>
      <w:r w:rsidR="007A5068" w:rsidRPr="00245623">
        <w:rPr>
          <w:lang w:val="en-US"/>
        </w:rPr>
        <w:t xml:space="preserve">), 18.8 </w:t>
      </w:r>
      <w:r w:rsidR="007A5068" w:rsidRPr="00245623">
        <w:rPr>
          <w:lang w:val="en-US"/>
        </w:rPr>
        <w:sym w:font="Symbol" w:char="F0B1"/>
      </w:r>
      <w:r w:rsidR="007A5068" w:rsidRPr="00245623">
        <w:rPr>
          <w:lang w:val="en-US"/>
        </w:rPr>
        <w:t xml:space="preserve"> 2.3 (</w:t>
      </w:r>
      <w:r w:rsidR="007A5068" w:rsidRPr="00245623">
        <w:rPr>
          <w:i/>
          <w:lang w:val="en-US"/>
        </w:rPr>
        <w:t>b</w:t>
      </w:r>
      <w:r w:rsidR="007A5068" w:rsidRPr="00245623">
        <w:rPr>
          <w:i/>
          <w:vertAlign w:val="subscript"/>
          <w:lang w:val="en-US"/>
        </w:rPr>
        <w:t>2</w:t>
      </w:r>
      <w:r w:rsidR="007A5068" w:rsidRPr="00245623">
        <w:rPr>
          <w:lang w:val="en-US"/>
        </w:rPr>
        <w:t>)</w:t>
      </w:r>
      <w:r w:rsidR="002E770B" w:rsidRPr="00245623">
        <w:rPr>
          <w:lang w:val="en-US"/>
        </w:rPr>
        <w:t xml:space="preserve"> and</w:t>
      </w:r>
      <w:r w:rsidR="007A5068" w:rsidRPr="00245623">
        <w:rPr>
          <w:lang w:val="en-US"/>
        </w:rPr>
        <w:t xml:space="preserve"> 20.2 </w:t>
      </w:r>
      <w:r w:rsidR="007A5068" w:rsidRPr="00245623">
        <w:rPr>
          <w:lang w:val="en-US"/>
        </w:rPr>
        <w:sym w:font="Symbol" w:char="F0B1"/>
      </w:r>
      <w:r w:rsidR="007A5068" w:rsidRPr="00245623">
        <w:rPr>
          <w:lang w:val="en-US"/>
        </w:rPr>
        <w:t xml:space="preserve"> 4.3 Hz (</w:t>
      </w:r>
      <w:r w:rsidR="007A5068" w:rsidRPr="00245623">
        <w:rPr>
          <w:i/>
          <w:lang w:val="en-US"/>
        </w:rPr>
        <w:t>b</w:t>
      </w:r>
      <w:r w:rsidR="007A5068" w:rsidRPr="00245623">
        <w:rPr>
          <w:i/>
          <w:vertAlign w:val="subscript"/>
          <w:lang w:val="en-US"/>
        </w:rPr>
        <w:t>3</w:t>
      </w:r>
      <w:r w:rsidR="007A5068" w:rsidRPr="00245623">
        <w:rPr>
          <w:lang w:val="en-US"/>
        </w:rPr>
        <w:t>)</w:t>
      </w:r>
      <w:r w:rsidR="002E770B" w:rsidRPr="00245623">
        <w:rPr>
          <w:lang w:val="en-US"/>
        </w:rPr>
        <w:t xml:space="preserve"> in control mice</w:t>
      </w:r>
      <w:r w:rsidR="007A5068" w:rsidRPr="00245623">
        <w:rPr>
          <w:lang w:val="en-US"/>
        </w:rPr>
        <w:t xml:space="preserve"> and 15.4 </w:t>
      </w:r>
      <w:r w:rsidR="007A5068" w:rsidRPr="00245623">
        <w:rPr>
          <w:lang w:val="en-US"/>
        </w:rPr>
        <w:sym w:font="Symbol" w:char="F0B1"/>
      </w:r>
      <w:r w:rsidR="007A5068" w:rsidRPr="00245623">
        <w:rPr>
          <w:lang w:val="en-US"/>
        </w:rPr>
        <w:t xml:space="preserve"> 2.5 (</w:t>
      </w:r>
      <w:r w:rsidR="007A5068" w:rsidRPr="00245623">
        <w:rPr>
          <w:i/>
          <w:lang w:val="en-US"/>
        </w:rPr>
        <w:t>b</w:t>
      </w:r>
      <w:r w:rsidR="007A5068" w:rsidRPr="00245623">
        <w:rPr>
          <w:i/>
          <w:vertAlign w:val="subscript"/>
          <w:lang w:val="en-US"/>
        </w:rPr>
        <w:t>0</w:t>
      </w:r>
      <w:r w:rsidR="007A5068" w:rsidRPr="00245623">
        <w:rPr>
          <w:lang w:val="en-US"/>
        </w:rPr>
        <w:t xml:space="preserve">), 15.7 </w:t>
      </w:r>
      <w:r w:rsidR="007A5068" w:rsidRPr="00245623">
        <w:rPr>
          <w:lang w:val="en-US"/>
        </w:rPr>
        <w:sym w:font="Symbol" w:char="F0B1"/>
      </w:r>
      <w:r w:rsidR="007A5068" w:rsidRPr="00245623">
        <w:rPr>
          <w:lang w:val="en-US"/>
        </w:rPr>
        <w:t xml:space="preserve"> 1.3 (</w:t>
      </w:r>
      <w:r w:rsidR="007A5068" w:rsidRPr="00245623">
        <w:rPr>
          <w:i/>
          <w:lang w:val="en-US"/>
        </w:rPr>
        <w:t>b</w:t>
      </w:r>
      <w:r w:rsidR="007A5068" w:rsidRPr="00245623">
        <w:rPr>
          <w:i/>
          <w:vertAlign w:val="subscript"/>
          <w:lang w:val="en-US"/>
        </w:rPr>
        <w:t>1</w:t>
      </w:r>
      <w:r w:rsidR="007A5068" w:rsidRPr="00245623">
        <w:rPr>
          <w:lang w:val="en-US"/>
        </w:rPr>
        <w:t xml:space="preserve">), 16.1 </w:t>
      </w:r>
      <w:r w:rsidR="007A5068" w:rsidRPr="00245623">
        <w:rPr>
          <w:lang w:val="en-US"/>
        </w:rPr>
        <w:sym w:font="Symbol" w:char="F0B1"/>
      </w:r>
      <w:r w:rsidR="007A5068" w:rsidRPr="00245623">
        <w:rPr>
          <w:lang w:val="en-US"/>
        </w:rPr>
        <w:t xml:space="preserve"> 1.9 (</w:t>
      </w:r>
      <w:r w:rsidR="007A5068" w:rsidRPr="00245623">
        <w:rPr>
          <w:i/>
          <w:lang w:val="en-US"/>
        </w:rPr>
        <w:t>b</w:t>
      </w:r>
      <w:r w:rsidR="007A5068" w:rsidRPr="00245623">
        <w:rPr>
          <w:i/>
          <w:vertAlign w:val="subscript"/>
          <w:lang w:val="en-US"/>
        </w:rPr>
        <w:t>2</w:t>
      </w:r>
      <w:r w:rsidR="007A5068" w:rsidRPr="00245623">
        <w:rPr>
          <w:lang w:val="en-US"/>
        </w:rPr>
        <w:t>)</w:t>
      </w:r>
      <w:r w:rsidR="002E770B" w:rsidRPr="00245623">
        <w:rPr>
          <w:lang w:val="en-US"/>
        </w:rPr>
        <w:t xml:space="preserve"> and</w:t>
      </w:r>
      <w:r w:rsidR="007A5068" w:rsidRPr="00245623">
        <w:rPr>
          <w:lang w:val="en-US"/>
        </w:rPr>
        <w:t xml:space="preserve"> 19.9 </w:t>
      </w:r>
      <w:r w:rsidR="007A5068" w:rsidRPr="00245623">
        <w:rPr>
          <w:lang w:val="en-US"/>
        </w:rPr>
        <w:sym w:font="Symbol" w:char="F0B1"/>
      </w:r>
      <w:r w:rsidR="007A5068" w:rsidRPr="00245623">
        <w:rPr>
          <w:lang w:val="en-US"/>
        </w:rPr>
        <w:t xml:space="preserve"> 3.7 Hz (</w:t>
      </w:r>
      <w:r w:rsidR="007A5068" w:rsidRPr="00245623">
        <w:rPr>
          <w:i/>
          <w:lang w:val="en-US"/>
        </w:rPr>
        <w:t>b</w:t>
      </w:r>
      <w:r w:rsidR="007A5068" w:rsidRPr="00245623">
        <w:rPr>
          <w:i/>
          <w:vertAlign w:val="subscript"/>
          <w:lang w:val="en-US"/>
        </w:rPr>
        <w:t>3</w:t>
      </w:r>
      <w:r w:rsidR="007A5068" w:rsidRPr="00245623">
        <w:rPr>
          <w:lang w:val="en-US"/>
        </w:rPr>
        <w:t xml:space="preserve">) </w:t>
      </w:r>
      <w:r w:rsidR="002E770B" w:rsidRPr="00245623">
        <w:rPr>
          <w:lang w:val="en-US"/>
        </w:rPr>
        <w:t>in</w:t>
      </w:r>
      <w:r w:rsidR="007A5068" w:rsidRPr="00245623">
        <w:rPr>
          <w:lang w:val="en-US"/>
        </w:rPr>
        <w:t xml:space="preserve"> CPZ mice.</w:t>
      </w:r>
    </w:p>
    <w:p w14:paraId="3FFAF44C" w14:textId="05177EB2" w:rsidR="00140740" w:rsidRPr="00245623" w:rsidRDefault="00FA5BE4" w:rsidP="00140740">
      <w:pPr>
        <w:pStyle w:val="NormalWeb"/>
        <w:spacing w:before="0" w:beforeAutospacing="0" w:after="0" w:afterAutospacing="0" w:line="480" w:lineRule="auto"/>
        <w:jc w:val="both"/>
        <w:rPr>
          <w:color w:val="000000" w:themeColor="text1"/>
          <w:szCs w:val="20"/>
          <w:lang w:val="en-US"/>
        </w:rPr>
      </w:pPr>
      <w:r w:rsidRPr="00245623">
        <w:rPr>
          <w:szCs w:val="20"/>
          <w:lang w:val="en-US"/>
        </w:rPr>
        <w:t xml:space="preserve">The </w:t>
      </w:r>
      <w:proofErr w:type="spellStart"/>
      <w:r w:rsidRPr="00245623">
        <w:rPr>
          <w:szCs w:val="20"/>
          <w:lang w:val="en-US"/>
        </w:rPr>
        <w:t>Cramér</w:t>
      </w:r>
      <w:proofErr w:type="spellEnd"/>
      <w:r w:rsidRPr="00245623">
        <w:rPr>
          <w:szCs w:val="20"/>
          <w:lang w:val="en-US"/>
        </w:rPr>
        <w:t xml:space="preserve">-Rao lower bounds (CRLBs) </w:t>
      </w:r>
      <w:r w:rsidR="00B3693D" w:rsidRPr="00245623">
        <w:rPr>
          <w:szCs w:val="20"/>
          <w:lang w:val="en-US"/>
        </w:rPr>
        <w:t>associated with</w:t>
      </w:r>
      <w:r w:rsidRPr="00245623">
        <w:rPr>
          <w:szCs w:val="20"/>
          <w:lang w:val="en-US"/>
        </w:rPr>
        <w:t xml:space="preserve"> </w:t>
      </w:r>
      <w:proofErr w:type="spellStart"/>
      <w:r w:rsidRPr="00245623">
        <w:rPr>
          <w:szCs w:val="20"/>
          <w:lang w:val="en-US"/>
        </w:rPr>
        <w:t>tNAA</w:t>
      </w:r>
      <w:proofErr w:type="spellEnd"/>
      <w:r w:rsidRPr="00245623">
        <w:rPr>
          <w:szCs w:val="20"/>
          <w:lang w:val="en-US"/>
        </w:rPr>
        <w:t xml:space="preserve"> and </w:t>
      </w:r>
      <w:proofErr w:type="spellStart"/>
      <w:r w:rsidRPr="00245623">
        <w:rPr>
          <w:szCs w:val="20"/>
          <w:lang w:val="en-US"/>
        </w:rPr>
        <w:t>tCr</w:t>
      </w:r>
      <w:proofErr w:type="spellEnd"/>
      <w:r w:rsidRPr="00245623">
        <w:rPr>
          <w:szCs w:val="20"/>
          <w:lang w:val="en-US"/>
        </w:rPr>
        <w:t xml:space="preserve"> </w:t>
      </w:r>
      <w:r w:rsidR="00B3693D" w:rsidRPr="00245623">
        <w:rPr>
          <w:szCs w:val="20"/>
          <w:lang w:val="en-US"/>
        </w:rPr>
        <w:t xml:space="preserve">quantification </w:t>
      </w:r>
      <w:r w:rsidRPr="00245623">
        <w:rPr>
          <w:szCs w:val="20"/>
          <w:lang w:val="en-US"/>
        </w:rPr>
        <w:t xml:space="preserve">were lower than 10% </w:t>
      </w:r>
      <w:r w:rsidR="0076073B" w:rsidRPr="00245623">
        <w:rPr>
          <w:szCs w:val="20"/>
          <w:lang w:val="en-US"/>
        </w:rPr>
        <w:t>for</w:t>
      </w:r>
      <w:r w:rsidRPr="00245623">
        <w:rPr>
          <w:szCs w:val="20"/>
          <w:lang w:val="en-US"/>
        </w:rPr>
        <w:t xml:space="preserve"> all </w:t>
      </w:r>
      <w:r w:rsidRPr="00245623">
        <w:rPr>
          <w:i/>
          <w:szCs w:val="20"/>
          <w:lang w:val="en-US"/>
        </w:rPr>
        <w:t>b</w:t>
      </w:r>
      <w:r w:rsidRPr="00245623">
        <w:rPr>
          <w:szCs w:val="20"/>
          <w:lang w:val="en-US"/>
        </w:rPr>
        <w:t>-values</w:t>
      </w:r>
      <w:r w:rsidR="002E770B" w:rsidRPr="00245623">
        <w:rPr>
          <w:szCs w:val="20"/>
          <w:lang w:val="en-US"/>
        </w:rPr>
        <w:t xml:space="preserve"> and all mice</w:t>
      </w:r>
      <w:r w:rsidRPr="00245623">
        <w:rPr>
          <w:szCs w:val="20"/>
          <w:lang w:val="en-US"/>
        </w:rPr>
        <w:t xml:space="preserve">. For </w:t>
      </w:r>
      <w:proofErr w:type="spellStart"/>
      <w:r w:rsidRPr="00245623">
        <w:rPr>
          <w:szCs w:val="20"/>
          <w:lang w:val="en-US"/>
        </w:rPr>
        <w:t>mIns</w:t>
      </w:r>
      <w:proofErr w:type="spellEnd"/>
      <w:r w:rsidRPr="00245623">
        <w:rPr>
          <w:szCs w:val="20"/>
          <w:lang w:val="en-US"/>
        </w:rPr>
        <w:t xml:space="preserve"> and </w:t>
      </w:r>
      <w:proofErr w:type="spellStart"/>
      <w:r w:rsidRPr="00245623">
        <w:rPr>
          <w:szCs w:val="20"/>
          <w:lang w:val="en-US"/>
        </w:rPr>
        <w:t>tCho</w:t>
      </w:r>
      <w:proofErr w:type="spellEnd"/>
      <w:r w:rsidRPr="00245623">
        <w:rPr>
          <w:szCs w:val="20"/>
          <w:lang w:val="en-US"/>
        </w:rPr>
        <w:t xml:space="preserve">, the CRLBs were lower than 20% </w:t>
      </w:r>
      <w:r w:rsidR="0076073B" w:rsidRPr="00245623">
        <w:rPr>
          <w:szCs w:val="20"/>
          <w:lang w:val="en-US"/>
        </w:rPr>
        <w:t>for</w:t>
      </w:r>
      <w:r w:rsidRPr="00245623">
        <w:rPr>
          <w:szCs w:val="20"/>
          <w:lang w:val="en-US"/>
        </w:rPr>
        <w:t xml:space="preserve"> all </w:t>
      </w:r>
      <w:r w:rsidRPr="00245623">
        <w:rPr>
          <w:i/>
          <w:szCs w:val="20"/>
          <w:lang w:val="en-US"/>
        </w:rPr>
        <w:t>b</w:t>
      </w:r>
      <w:r w:rsidRPr="00245623">
        <w:rPr>
          <w:szCs w:val="20"/>
          <w:lang w:val="en-US"/>
        </w:rPr>
        <w:t xml:space="preserve">-values, except </w:t>
      </w:r>
      <w:r w:rsidR="00B3693D" w:rsidRPr="00245623">
        <w:rPr>
          <w:szCs w:val="20"/>
          <w:lang w:val="en-US"/>
        </w:rPr>
        <w:t xml:space="preserve">for </w:t>
      </w:r>
      <w:r w:rsidRPr="00245623">
        <w:rPr>
          <w:szCs w:val="20"/>
          <w:lang w:val="en-US"/>
        </w:rPr>
        <w:t xml:space="preserve">two </w:t>
      </w:r>
      <w:r w:rsidR="00B515F3" w:rsidRPr="00245623">
        <w:rPr>
          <w:szCs w:val="20"/>
          <w:lang w:val="en-US"/>
        </w:rPr>
        <w:t>control</w:t>
      </w:r>
      <w:r w:rsidR="0039095A" w:rsidRPr="00245623">
        <w:rPr>
          <w:szCs w:val="20"/>
          <w:lang w:val="en-US"/>
        </w:rPr>
        <w:t xml:space="preserve"> mice</w:t>
      </w:r>
      <w:r w:rsidR="00B3693D" w:rsidRPr="00245623">
        <w:rPr>
          <w:szCs w:val="20"/>
          <w:lang w:val="en-US"/>
        </w:rPr>
        <w:t>,</w:t>
      </w:r>
      <w:r w:rsidRPr="00245623">
        <w:rPr>
          <w:szCs w:val="20"/>
          <w:lang w:val="en-US"/>
        </w:rPr>
        <w:t xml:space="preserve"> where the CRLBs were higher than </w:t>
      </w:r>
      <w:r w:rsidR="0076073B" w:rsidRPr="00245623">
        <w:rPr>
          <w:szCs w:val="20"/>
          <w:lang w:val="en-US"/>
        </w:rPr>
        <w:t>30</w:t>
      </w:r>
      <w:r w:rsidRPr="00245623">
        <w:rPr>
          <w:szCs w:val="20"/>
          <w:lang w:val="en-US"/>
        </w:rPr>
        <w:t xml:space="preserve">% for at least one </w:t>
      </w:r>
      <w:r w:rsidRPr="00245623">
        <w:rPr>
          <w:i/>
          <w:szCs w:val="20"/>
          <w:lang w:val="en-US"/>
        </w:rPr>
        <w:t>b</w:t>
      </w:r>
      <w:r w:rsidRPr="00245623">
        <w:rPr>
          <w:szCs w:val="20"/>
          <w:lang w:val="en-US"/>
        </w:rPr>
        <w:t xml:space="preserve">-value. </w:t>
      </w:r>
      <w:proofErr w:type="spellStart"/>
      <w:r w:rsidR="0076073B" w:rsidRPr="00245623">
        <w:rPr>
          <w:szCs w:val="20"/>
          <w:lang w:val="en-US"/>
        </w:rPr>
        <w:t>MIns</w:t>
      </w:r>
      <w:proofErr w:type="spellEnd"/>
      <w:r w:rsidR="0076073B" w:rsidRPr="00245623">
        <w:rPr>
          <w:szCs w:val="20"/>
          <w:lang w:val="en-US"/>
        </w:rPr>
        <w:t xml:space="preserve"> and </w:t>
      </w:r>
      <w:proofErr w:type="spellStart"/>
      <w:r w:rsidR="0076073B" w:rsidRPr="00245623">
        <w:rPr>
          <w:szCs w:val="20"/>
          <w:lang w:val="en-US"/>
        </w:rPr>
        <w:t>tCho</w:t>
      </w:r>
      <w:proofErr w:type="spellEnd"/>
      <w:r w:rsidRPr="00245623">
        <w:rPr>
          <w:szCs w:val="20"/>
          <w:lang w:val="en-US"/>
        </w:rPr>
        <w:t xml:space="preserve"> signals were </w:t>
      </w:r>
      <w:r w:rsidR="0076073B" w:rsidRPr="00245623">
        <w:rPr>
          <w:szCs w:val="20"/>
          <w:lang w:val="en-US"/>
        </w:rPr>
        <w:t xml:space="preserve">therefore </w:t>
      </w:r>
      <w:r w:rsidRPr="00245623">
        <w:rPr>
          <w:szCs w:val="20"/>
          <w:lang w:val="en-US"/>
        </w:rPr>
        <w:t>excluded f</w:t>
      </w:r>
      <w:r w:rsidR="00B3693D" w:rsidRPr="00245623">
        <w:rPr>
          <w:szCs w:val="20"/>
          <w:lang w:val="en-US"/>
        </w:rPr>
        <w:t>rom</w:t>
      </w:r>
      <w:r w:rsidRPr="00245623">
        <w:rPr>
          <w:szCs w:val="20"/>
          <w:lang w:val="en-US"/>
        </w:rPr>
        <w:t xml:space="preserve"> further analysis</w:t>
      </w:r>
      <w:r w:rsidR="0076073B" w:rsidRPr="00245623">
        <w:rPr>
          <w:szCs w:val="20"/>
          <w:lang w:val="en-US"/>
        </w:rPr>
        <w:t xml:space="preserve"> for these two mice</w:t>
      </w:r>
      <w:r w:rsidRPr="00245623">
        <w:rPr>
          <w:szCs w:val="20"/>
          <w:lang w:val="en-US"/>
        </w:rPr>
        <w:t xml:space="preserve">. At </w:t>
      </w:r>
      <w:r w:rsidRPr="00245623">
        <w:rPr>
          <w:i/>
          <w:lang w:val="en-US"/>
        </w:rPr>
        <w:t>b</w:t>
      </w:r>
      <w:r w:rsidRPr="00245623">
        <w:rPr>
          <w:vertAlign w:val="subscript"/>
          <w:lang w:val="en-US"/>
        </w:rPr>
        <w:t>0</w:t>
      </w:r>
      <w:r w:rsidRPr="00245623">
        <w:rPr>
          <w:szCs w:val="20"/>
          <w:lang w:val="en-US"/>
        </w:rPr>
        <w:t xml:space="preserve">, the CRLBs were ~2% for </w:t>
      </w:r>
      <w:proofErr w:type="spellStart"/>
      <w:r w:rsidRPr="00245623">
        <w:rPr>
          <w:szCs w:val="20"/>
          <w:lang w:val="en-US"/>
        </w:rPr>
        <w:t>tNAA</w:t>
      </w:r>
      <w:proofErr w:type="spellEnd"/>
      <w:r w:rsidRPr="00245623">
        <w:rPr>
          <w:szCs w:val="20"/>
          <w:lang w:val="en-US"/>
        </w:rPr>
        <w:t xml:space="preserve"> and </w:t>
      </w:r>
      <w:proofErr w:type="spellStart"/>
      <w:r w:rsidRPr="00245623">
        <w:rPr>
          <w:szCs w:val="20"/>
          <w:lang w:val="en-US"/>
        </w:rPr>
        <w:t>tCr</w:t>
      </w:r>
      <w:proofErr w:type="spellEnd"/>
      <w:r w:rsidRPr="00245623">
        <w:rPr>
          <w:szCs w:val="20"/>
          <w:lang w:val="en-US"/>
        </w:rPr>
        <w:t xml:space="preserve">, and ~6% for </w:t>
      </w:r>
      <w:proofErr w:type="spellStart"/>
      <w:r w:rsidRPr="00245623">
        <w:rPr>
          <w:szCs w:val="20"/>
          <w:lang w:val="en-US"/>
        </w:rPr>
        <w:t>mIns</w:t>
      </w:r>
      <w:proofErr w:type="spellEnd"/>
      <w:r w:rsidRPr="00245623">
        <w:rPr>
          <w:szCs w:val="20"/>
          <w:lang w:val="en-US"/>
        </w:rPr>
        <w:t xml:space="preserve"> and </w:t>
      </w:r>
      <w:proofErr w:type="spellStart"/>
      <w:r w:rsidRPr="00245623">
        <w:rPr>
          <w:szCs w:val="20"/>
          <w:lang w:val="en-US"/>
        </w:rPr>
        <w:t>tCho</w:t>
      </w:r>
      <w:proofErr w:type="spellEnd"/>
      <w:r w:rsidRPr="00245623">
        <w:rPr>
          <w:szCs w:val="20"/>
          <w:lang w:val="en-US"/>
        </w:rPr>
        <w:t>.</w:t>
      </w:r>
      <w:r w:rsidR="00220D78" w:rsidRPr="00245623">
        <w:rPr>
          <w:szCs w:val="20"/>
          <w:lang w:val="en-US"/>
        </w:rPr>
        <w:t xml:space="preserve"> </w:t>
      </w:r>
      <w:r w:rsidR="00E2217F" w:rsidRPr="00245623">
        <w:rPr>
          <w:lang w:val="en-US"/>
        </w:rPr>
        <w:t xml:space="preserve">Figure </w:t>
      </w:r>
      <w:r w:rsidR="00582EA6" w:rsidRPr="00245623">
        <w:rPr>
          <w:lang w:val="en-US"/>
        </w:rPr>
        <w:t>3</w:t>
      </w:r>
      <w:r w:rsidR="00E2217F" w:rsidRPr="00245623">
        <w:rPr>
          <w:lang w:val="en-US"/>
        </w:rPr>
        <w:t xml:space="preserve"> shows the </w:t>
      </w:r>
      <w:r w:rsidR="00E2217F" w:rsidRPr="00245623">
        <w:rPr>
          <w:color w:val="000000" w:themeColor="text1"/>
          <w:szCs w:val="20"/>
          <w:lang w:val="en-US"/>
        </w:rPr>
        <w:t>signal logarithm attenuation</w:t>
      </w:r>
      <w:r w:rsidR="00850878" w:rsidRPr="00245623">
        <w:rPr>
          <w:color w:val="000000" w:themeColor="text1"/>
          <w:szCs w:val="20"/>
          <w:lang w:val="en-US"/>
        </w:rPr>
        <w:t>s</w:t>
      </w:r>
      <w:r w:rsidR="00E2217F" w:rsidRPr="00245623">
        <w:rPr>
          <w:color w:val="000000" w:themeColor="text1"/>
          <w:szCs w:val="20"/>
          <w:lang w:val="en-US"/>
        </w:rPr>
        <w:t xml:space="preserve"> for </w:t>
      </w:r>
      <w:proofErr w:type="spellStart"/>
      <w:r w:rsidR="00E2217F" w:rsidRPr="00245623">
        <w:rPr>
          <w:color w:val="000000" w:themeColor="text1"/>
          <w:szCs w:val="20"/>
          <w:lang w:val="en-US"/>
        </w:rPr>
        <w:t>mIns</w:t>
      </w:r>
      <w:proofErr w:type="spellEnd"/>
      <w:r w:rsidR="00A86E6B" w:rsidRPr="00245623">
        <w:rPr>
          <w:color w:val="000000" w:themeColor="text1"/>
          <w:szCs w:val="20"/>
          <w:lang w:val="en-US"/>
        </w:rPr>
        <w:t>,</w:t>
      </w:r>
      <w:r w:rsidR="008F09F5" w:rsidRPr="00245623">
        <w:rPr>
          <w:color w:val="000000" w:themeColor="text1"/>
          <w:szCs w:val="20"/>
          <w:lang w:val="en-US"/>
        </w:rPr>
        <w:t xml:space="preserve"> </w:t>
      </w:r>
      <w:proofErr w:type="spellStart"/>
      <w:r w:rsidR="008F09F5" w:rsidRPr="00245623">
        <w:rPr>
          <w:color w:val="000000" w:themeColor="text1"/>
          <w:szCs w:val="20"/>
          <w:lang w:val="en-US"/>
        </w:rPr>
        <w:t>tCho</w:t>
      </w:r>
      <w:proofErr w:type="spellEnd"/>
      <w:r w:rsidR="008F09F5" w:rsidRPr="00245623">
        <w:rPr>
          <w:color w:val="000000" w:themeColor="text1"/>
          <w:szCs w:val="20"/>
          <w:lang w:val="en-US"/>
        </w:rPr>
        <w:t xml:space="preserve">, </w:t>
      </w:r>
      <w:proofErr w:type="spellStart"/>
      <w:r w:rsidR="008F09F5" w:rsidRPr="00245623">
        <w:rPr>
          <w:color w:val="000000" w:themeColor="text1"/>
          <w:szCs w:val="20"/>
          <w:lang w:val="en-US"/>
        </w:rPr>
        <w:t>tCr</w:t>
      </w:r>
      <w:proofErr w:type="spellEnd"/>
      <w:r w:rsidR="008F09F5" w:rsidRPr="00245623">
        <w:rPr>
          <w:color w:val="000000" w:themeColor="text1"/>
          <w:szCs w:val="20"/>
          <w:lang w:val="en-US"/>
        </w:rPr>
        <w:t xml:space="preserve"> and </w:t>
      </w:r>
      <w:proofErr w:type="spellStart"/>
      <w:r w:rsidR="008F09F5" w:rsidRPr="00245623">
        <w:rPr>
          <w:color w:val="000000" w:themeColor="text1"/>
          <w:szCs w:val="20"/>
          <w:lang w:val="en-US"/>
        </w:rPr>
        <w:t>tNAA</w:t>
      </w:r>
      <w:proofErr w:type="spellEnd"/>
      <w:r w:rsidR="00A86E6B" w:rsidRPr="00245623">
        <w:rPr>
          <w:color w:val="000000" w:themeColor="text1"/>
          <w:szCs w:val="20"/>
          <w:lang w:val="en-US"/>
        </w:rPr>
        <w:t xml:space="preserve"> </w:t>
      </w:r>
      <w:r w:rsidR="00A86E6B" w:rsidRPr="00245623">
        <w:rPr>
          <w:lang w:val="en-US"/>
        </w:rPr>
        <w:t>averaged across mice and directions,</w:t>
      </w:r>
      <w:r w:rsidR="00E2217F" w:rsidRPr="00245623">
        <w:rPr>
          <w:color w:val="000000" w:themeColor="text1"/>
          <w:szCs w:val="20"/>
          <w:lang w:val="en-US"/>
        </w:rPr>
        <w:t xml:space="preserve"> f</w:t>
      </w:r>
      <w:r w:rsidR="00A86E6B" w:rsidRPr="00245623">
        <w:rPr>
          <w:color w:val="000000" w:themeColor="text1"/>
          <w:szCs w:val="20"/>
          <w:lang w:val="en-US"/>
        </w:rPr>
        <w:t>or</w:t>
      </w:r>
      <w:r w:rsidR="00E2217F" w:rsidRPr="00245623">
        <w:rPr>
          <w:color w:val="000000" w:themeColor="text1"/>
          <w:szCs w:val="20"/>
          <w:lang w:val="en-US"/>
        </w:rPr>
        <w:t xml:space="preserve"> both groups. </w:t>
      </w:r>
      <w:r w:rsidR="00327E8F" w:rsidRPr="00245623">
        <w:rPr>
          <w:lang w:val="en-US"/>
        </w:rPr>
        <w:t xml:space="preserve">The median </w:t>
      </w:r>
      <w:r w:rsidR="00327E8F" w:rsidRPr="00245623">
        <w:rPr>
          <w:i/>
          <w:iCs/>
          <w:lang w:val="en-US"/>
        </w:rPr>
        <w:t>R</w:t>
      </w:r>
      <w:r w:rsidR="00327E8F" w:rsidRPr="00245623">
        <w:rPr>
          <w:vertAlign w:val="superscript"/>
          <w:lang w:val="en-US"/>
        </w:rPr>
        <w:t>2</w:t>
      </w:r>
      <w:r w:rsidR="00327E8F" w:rsidRPr="00245623">
        <w:rPr>
          <w:i/>
          <w:iCs/>
          <w:lang w:val="en-US"/>
        </w:rPr>
        <w:t xml:space="preserve"> </w:t>
      </w:r>
      <w:r w:rsidR="00327E8F" w:rsidRPr="00245623">
        <w:rPr>
          <w:lang w:val="en-US"/>
        </w:rPr>
        <w:t xml:space="preserve">values associated with the linear fits to </w:t>
      </w:r>
      <w:r w:rsidR="00CB1640" w:rsidRPr="00245623">
        <w:rPr>
          <w:lang w:val="en-US"/>
        </w:rPr>
        <w:t xml:space="preserve">the </w:t>
      </w:r>
      <w:r w:rsidR="00327E8F" w:rsidRPr="00245623">
        <w:rPr>
          <w:lang w:val="en-US"/>
        </w:rPr>
        <w:t>signal decays were 0.88, 0.90, 0.97</w:t>
      </w:r>
      <w:r w:rsidR="00CB1640" w:rsidRPr="00245623">
        <w:rPr>
          <w:lang w:val="en-US"/>
        </w:rPr>
        <w:t xml:space="preserve"> and</w:t>
      </w:r>
      <w:r w:rsidR="00327E8F" w:rsidRPr="00245623">
        <w:rPr>
          <w:lang w:val="en-US"/>
        </w:rPr>
        <w:t xml:space="preserve"> 0.96 </w:t>
      </w:r>
      <w:r w:rsidR="00CB1640" w:rsidRPr="00245623">
        <w:rPr>
          <w:lang w:val="en-US"/>
        </w:rPr>
        <w:t xml:space="preserve">for </w:t>
      </w:r>
      <w:proofErr w:type="spellStart"/>
      <w:r w:rsidR="00CB1640" w:rsidRPr="00245623">
        <w:rPr>
          <w:lang w:val="en-US"/>
        </w:rPr>
        <w:t>mIns</w:t>
      </w:r>
      <w:proofErr w:type="spellEnd"/>
      <w:r w:rsidR="00CB1640" w:rsidRPr="00245623">
        <w:rPr>
          <w:lang w:val="en-US"/>
        </w:rPr>
        <w:t xml:space="preserve">, </w:t>
      </w:r>
      <w:proofErr w:type="spellStart"/>
      <w:r w:rsidR="00CB1640" w:rsidRPr="00245623">
        <w:rPr>
          <w:lang w:val="en-US"/>
        </w:rPr>
        <w:t>tCho</w:t>
      </w:r>
      <w:proofErr w:type="spellEnd"/>
      <w:r w:rsidR="00CB1640" w:rsidRPr="00245623">
        <w:rPr>
          <w:lang w:val="en-US"/>
        </w:rPr>
        <w:t xml:space="preserve">, </w:t>
      </w:r>
      <w:proofErr w:type="spellStart"/>
      <w:r w:rsidR="00CB1640" w:rsidRPr="00245623">
        <w:rPr>
          <w:lang w:val="en-US"/>
        </w:rPr>
        <w:t>tCr</w:t>
      </w:r>
      <w:proofErr w:type="spellEnd"/>
      <w:r w:rsidR="00CB1640" w:rsidRPr="00245623">
        <w:rPr>
          <w:lang w:val="en-US"/>
        </w:rPr>
        <w:t xml:space="preserve"> and </w:t>
      </w:r>
      <w:proofErr w:type="spellStart"/>
      <w:r w:rsidR="00CB1640" w:rsidRPr="00245623">
        <w:rPr>
          <w:lang w:val="en-US"/>
        </w:rPr>
        <w:t>tNAA</w:t>
      </w:r>
      <w:proofErr w:type="spellEnd"/>
      <w:r w:rsidR="00CB1640" w:rsidRPr="00245623">
        <w:rPr>
          <w:lang w:val="en-US"/>
        </w:rPr>
        <w:t xml:space="preserve"> </w:t>
      </w:r>
      <w:r w:rsidR="00327E8F" w:rsidRPr="00245623">
        <w:rPr>
          <w:lang w:val="en-US"/>
        </w:rPr>
        <w:t xml:space="preserve">respectively. No significant differences in </w:t>
      </w:r>
      <w:r w:rsidR="00327E8F" w:rsidRPr="00245623">
        <w:rPr>
          <w:i/>
          <w:iCs/>
          <w:lang w:val="en-US"/>
        </w:rPr>
        <w:t>R</w:t>
      </w:r>
      <w:r w:rsidR="00327E8F" w:rsidRPr="00245623">
        <w:rPr>
          <w:vertAlign w:val="superscript"/>
          <w:lang w:val="en-US"/>
        </w:rPr>
        <w:t xml:space="preserve">2 </w:t>
      </w:r>
      <w:r w:rsidR="00327E8F" w:rsidRPr="00245623">
        <w:rPr>
          <w:lang w:val="en-US"/>
        </w:rPr>
        <w:t>values were observed between groups for any of the metabolites under investigation.</w:t>
      </w:r>
    </w:p>
    <w:p w14:paraId="7B44473D" w14:textId="77777777" w:rsidR="008F09F5" w:rsidRPr="00245623" w:rsidRDefault="008F09F5" w:rsidP="008F09F5">
      <w:pPr>
        <w:spacing w:line="480" w:lineRule="auto"/>
        <w:jc w:val="both"/>
        <w:rPr>
          <w:b/>
          <w:szCs w:val="20"/>
          <w:lang w:val="en-US"/>
        </w:rPr>
      </w:pPr>
    </w:p>
    <w:p w14:paraId="056DE40D" w14:textId="4F8EE62C" w:rsidR="008F09F5" w:rsidRPr="00245623" w:rsidRDefault="006B5E60" w:rsidP="00C0516F">
      <w:pPr>
        <w:pStyle w:val="Titre3"/>
        <w:spacing w:line="480" w:lineRule="auto"/>
        <w:jc w:val="both"/>
        <w:rPr>
          <w:rFonts w:ascii="Times New Roman" w:hAnsi="Times New Roman" w:cs="Times New Roman"/>
        </w:rPr>
      </w:pPr>
      <w:r w:rsidRPr="00245623">
        <w:rPr>
          <w:rFonts w:ascii="Times New Roman" w:hAnsi="Times New Roman" w:cs="Times New Roman"/>
        </w:rPr>
        <w:t xml:space="preserve">3.2 </w:t>
      </w:r>
      <w:r w:rsidR="009F5CF9" w:rsidRPr="00245623">
        <w:rPr>
          <w:rFonts w:ascii="Times New Roman" w:hAnsi="Times New Roman" w:cs="Times New Roman"/>
        </w:rPr>
        <w:t>Apparent diffusion coefficients</w:t>
      </w:r>
    </w:p>
    <w:p w14:paraId="1BB5FA66" w14:textId="25A0C8C8" w:rsidR="00A94233" w:rsidRPr="00245623" w:rsidRDefault="00A94233" w:rsidP="00A94233">
      <w:pPr>
        <w:pStyle w:val="NormalWeb"/>
        <w:spacing w:before="0" w:beforeAutospacing="0" w:after="0" w:afterAutospacing="0" w:line="480" w:lineRule="auto"/>
        <w:jc w:val="both"/>
        <w:rPr>
          <w:lang w:val="en-US"/>
        </w:rPr>
      </w:pPr>
      <w:r w:rsidRPr="00245623">
        <w:rPr>
          <w:lang w:val="en-US"/>
        </w:rPr>
        <w:t xml:space="preserve">The </w:t>
      </w:r>
      <w:proofErr w:type="spellStart"/>
      <w:r w:rsidRPr="00245623">
        <w:rPr>
          <w:lang w:val="en-US"/>
        </w:rPr>
        <w:t>mIns</w:t>
      </w:r>
      <w:proofErr w:type="spellEnd"/>
      <w:r w:rsidRPr="00245623">
        <w:rPr>
          <w:lang w:val="en-US"/>
        </w:rPr>
        <w:t xml:space="preserve"> signal was significantly lower in CPZ vs. control mice at </w:t>
      </w:r>
      <w:r w:rsidRPr="00245623">
        <w:rPr>
          <w:i/>
          <w:lang w:val="en-US"/>
        </w:rPr>
        <w:t>b</w:t>
      </w:r>
      <w:r w:rsidRPr="00245623">
        <w:rPr>
          <w:i/>
          <w:vertAlign w:val="subscript"/>
          <w:lang w:val="en-US"/>
        </w:rPr>
        <w:t>2</w:t>
      </w:r>
      <w:r w:rsidRPr="00245623">
        <w:rPr>
          <w:vertAlign w:val="subscript"/>
          <w:lang w:val="en-US"/>
        </w:rPr>
        <w:t xml:space="preserve"> </w:t>
      </w:r>
      <w:r w:rsidRPr="00245623">
        <w:rPr>
          <w:lang w:val="en-US"/>
        </w:rPr>
        <w:t xml:space="preserve">and </w:t>
      </w:r>
      <w:r w:rsidRPr="00245623">
        <w:rPr>
          <w:i/>
          <w:lang w:val="en-US"/>
        </w:rPr>
        <w:t>b</w:t>
      </w:r>
      <w:r w:rsidRPr="00245623">
        <w:rPr>
          <w:i/>
          <w:vertAlign w:val="subscript"/>
          <w:lang w:val="en-US"/>
        </w:rPr>
        <w:t>3</w:t>
      </w:r>
      <w:r w:rsidRPr="00245623">
        <w:rPr>
          <w:lang w:val="en-US"/>
        </w:rPr>
        <w:t xml:space="preserve"> (</w:t>
      </w:r>
      <w:r w:rsidRPr="00245623">
        <w:rPr>
          <w:i/>
          <w:lang w:val="en-US"/>
        </w:rPr>
        <w:t>p</w:t>
      </w:r>
      <w:r w:rsidRPr="00245623">
        <w:rPr>
          <w:lang w:val="en-US"/>
        </w:rPr>
        <w:t xml:space="preserve"> &lt; 0.001 and </w:t>
      </w:r>
      <w:r w:rsidRPr="00245623">
        <w:rPr>
          <w:i/>
          <w:lang w:val="en-US"/>
        </w:rPr>
        <w:t>p</w:t>
      </w:r>
      <w:r w:rsidRPr="00245623">
        <w:rPr>
          <w:lang w:val="en-US"/>
        </w:rPr>
        <w:t xml:space="preserve"> = 0.044, respectively), while the </w:t>
      </w:r>
      <w:proofErr w:type="spellStart"/>
      <w:r w:rsidRPr="00245623">
        <w:rPr>
          <w:lang w:val="en-US"/>
        </w:rPr>
        <w:t>tCho</w:t>
      </w:r>
      <w:proofErr w:type="spellEnd"/>
      <w:r w:rsidRPr="00245623">
        <w:rPr>
          <w:lang w:val="en-US"/>
        </w:rPr>
        <w:t xml:space="preserve"> signal was significantly lower in CPZ vs. control mice at </w:t>
      </w:r>
      <w:r w:rsidRPr="00245623">
        <w:rPr>
          <w:i/>
          <w:lang w:val="en-US"/>
        </w:rPr>
        <w:t>b</w:t>
      </w:r>
      <w:r w:rsidRPr="00245623">
        <w:rPr>
          <w:i/>
          <w:vertAlign w:val="subscript"/>
          <w:lang w:val="en-US"/>
        </w:rPr>
        <w:t>3</w:t>
      </w:r>
      <w:r w:rsidRPr="00245623">
        <w:rPr>
          <w:lang w:val="en-US"/>
        </w:rPr>
        <w:t xml:space="preserve"> only (</w:t>
      </w:r>
      <w:r w:rsidRPr="00245623">
        <w:rPr>
          <w:i/>
          <w:lang w:val="en-US"/>
        </w:rPr>
        <w:t>p</w:t>
      </w:r>
      <w:r w:rsidRPr="00245623">
        <w:rPr>
          <w:lang w:val="en-US"/>
        </w:rPr>
        <w:t xml:space="preserve"> = 0.001) (Figure 3).</w:t>
      </w:r>
    </w:p>
    <w:p w14:paraId="5F03B042" w14:textId="73B9A968" w:rsidR="00635C03" w:rsidRPr="00245623" w:rsidRDefault="00E2217F" w:rsidP="00B0286C">
      <w:pPr>
        <w:spacing w:line="480" w:lineRule="auto"/>
        <w:jc w:val="both"/>
        <w:rPr>
          <w:lang w:val="en-US"/>
        </w:rPr>
      </w:pPr>
      <w:r w:rsidRPr="00245623">
        <w:rPr>
          <w:lang w:val="en-US"/>
        </w:rPr>
        <w:t xml:space="preserve">Figure </w:t>
      </w:r>
      <w:r w:rsidR="005658E8" w:rsidRPr="00245623">
        <w:rPr>
          <w:lang w:val="en-US"/>
        </w:rPr>
        <w:t>4</w:t>
      </w:r>
      <w:r w:rsidR="00001D24" w:rsidRPr="00245623">
        <w:rPr>
          <w:lang w:val="en-US"/>
        </w:rPr>
        <w:t>A</w:t>
      </w:r>
      <w:r w:rsidRPr="00245623">
        <w:rPr>
          <w:lang w:val="en-US"/>
        </w:rPr>
        <w:t xml:space="preserve"> shows metabolite ADC</w:t>
      </w:r>
      <w:r w:rsidR="00BB6BB3" w:rsidRPr="00245623">
        <w:rPr>
          <w:lang w:val="en-US"/>
        </w:rPr>
        <w:t>s</w:t>
      </w:r>
      <w:r w:rsidRPr="00245623">
        <w:rPr>
          <w:lang w:val="en-US"/>
        </w:rPr>
        <w:t xml:space="preserve"> evaluated f</w:t>
      </w:r>
      <w:r w:rsidR="00BB6BB3" w:rsidRPr="00245623">
        <w:rPr>
          <w:lang w:val="en-US"/>
        </w:rPr>
        <w:t>or</w:t>
      </w:r>
      <w:r w:rsidRPr="00245623">
        <w:rPr>
          <w:lang w:val="en-US"/>
        </w:rPr>
        <w:t xml:space="preserve"> </w:t>
      </w:r>
      <w:r w:rsidR="00B515F3" w:rsidRPr="00245623">
        <w:rPr>
          <w:lang w:val="en-US"/>
        </w:rPr>
        <w:t>control</w:t>
      </w:r>
      <w:r w:rsidR="00C535C9" w:rsidRPr="00245623">
        <w:rPr>
          <w:lang w:val="en-US"/>
        </w:rPr>
        <w:t xml:space="preserve"> and CPZ</w:t>
      </w:r>
      <w:r w:rsidR="00B515F3" w:rsidRPr="00245623">
        <w:rPr>
          <w:lang w:val="en-US"/>
        </w:rPr>
        <w:t xml:space="preserve"> mice</w:t>
      </w:r>
      <w:r w:rsidR="00A12C04" w:rsidRPr="00245623">
        <w:rPr>
          <w:lang w:val="en-US"/>
        </w:rPr>
        <w:t xml:space="preserve">. </w:t>
      </w:r>
      <w:r w:rsidR="002B425B" w:rsidRPr="00245623">
        <w:rPr>
          <w:lang w:val="en-US"/>
        </w:rPr>
        <w:t>The</w:t>
      </w:r>
      <w:r w:rsidRPr="00245623">
        <w:rPr>
          <w:lang w:val="en-US"/>
        </w:rPr>
        <w:t xml:space="preserve"> ADC</w:t>
      </w:r>
      <w:r w:rsidRPr="00245623">
        <w:rPr>
          <w:vertAlign w:val="subscript"/>
          <w:lang w:val="en-US"/>
        </w:rPr>
        <w:t xml:space="preserve"> </w:t>
      </w:r>
      <w:r w:rsidR="002B425B" w:rsidRPr="00245623">
        <w:rPr>
          <w:lang w:val="en-US"/>
        </w:rPr>
        <w:t xml:space="preserve">of </w:t>
      </w:r>
      <w:proofErr w:type="spellStart"/>
      <w:r w:rsidR="00B55393" w:rsidRPr="00245623">
        <w:rPr>
          <w:lang w:val="en-US"/>
        </w:rPr>
        <w:t>mIns</w:t>
      </w:r>
      <w:proofErr w:type="spellEnd"/>
      <w:r w:rsidR="002B425B" w:rsidRPr="00245623">
        <w:rPr>
          <w:lang w:val="en-US"/>
        </w:rPr>
        <w:t xml:space="preserve"> </w:t>
      </w:r>
      <w:r w:rsidRPr="00245623">
        <w:rPr>
          <w:lang w:val="en-US"/>
        </w:rPr>
        <w:t xml:space="preserve">was significantly higher in </w:t>
      </w:r>
      <w:r w:rsidR="00B55393" w:rsidRPr="00245623">
        <w:rPr>
          <w:lang w:val="en-US"/>
        </w:rPr>
        <w:t xml:space="preserve">CPZ (0.130 ± 0.031 </w:t>
      </w:r>
      <w:r w:rsidR="00B55393" w:rsidRPr="00245623">
        <w:t>μ</w:t>
      </w:r>
      <w:r w:rsidR="00B55393" w:rsidRPr="00245623">
        <w:rPr>
          <w:lang w:val="en-US"/>
        </w:rPr>
        <w:t>m</w:t>
      </w:r>
      <w:r w:rsidR="00B55393" w:rsidRPr="00245623">
        <w:rPr>
          <w:vertAlign w:val="superscript"/>
          <w:lang w:val="en-US"/>
        </w:rPr>
        <w:t>2</w:t>
      </w:r>
      <w:r w:rsidR="00B55393" w:rsidRPr="00245623">
        <w:rPr>
          <w:lang w:val="en-US"/>
        </w:rPr>
        <w:t xml:space="preserve">/ms, </w:t>
      </w:r>
      <w:r w:rsidR="00B55393" w:rsidRPr="00245623">
        <w:rPr>
          <w:i/>
          <w:lang w:val="en-US"/>
        </w:rPr>
        <w:t>p</w:t>
      </w:r>
      <w:r w:rsidR="00B55393" w:rsidRPr="00245623">
        <w:rPr>
          <w:lang w:val="en-US"/>
        </w:rPr>
        <w:t xml:space="preserve"> </w:t>
      </w:r>
      <w:r w:rsidR="00147974" w:rsidRPr="00245623">
        <w:rPr>
          <w:lang w:val="en-US"/>
        </w:rPr>
        <w:t>= 0.004</w:t>
      </w:r>
      <w:r w:rsidR="00B55393" w:rsidRPr="00245623">
        <w:rPr>
          <w:lang w:val="en-US"/>
        </w:rPr>
        <w:t xml:space="preserve">) with respect to </w:t>
      </w:r>
      <w:r w:rsidR="00B515F3" w:rsidRPr="00245623">
        <w:rPr>
          <w:lang w:val="en-US"/>
        </w:rPr>
        <w:t>control</w:t>
      </w:r>
      <w:r w:rsidR="0039095A" w:rsidRPr="00245623">
        <w:rPr>
          <w:lang w:val="en-US"/>
        </w:rPr>
        <w:t xml:space="preserve"> mice</w:t>
      </w:r>
      <w:r w:rsidR="00B55393" w:rsidRPr="00245623">
        <w:rPr>
          <w:lang w:val="en-US"/>
        </w:rPr>
        <w:t xml:space="preserve"> (0.082 ± 0.024 </w:t>
      </w:r>
      <w:r w:rsidR="00B55393" w:rsidRPr="00245623">
        <w:t>μ</w:t>
      </w:r>
      <w:r w:rsidR="00B55393" w:rsidRPr="00245623">
        <w:rPr>
          <w:lang w:val="en-US"/>
        </w:rPr>
        <w:t>m</w:t>
      </w:r>
      <w:r w:rsidR="00B55393" w:rsidRPr="00245623">
        <w:rPr>
          <w:vertAlign w:val="superscript"/>
          <w:lang w:val="en-US"/>
        </w:rPr>
        <w:t>2</w:t>
      </w:r>
      <w:r w:rsidR="00B55393" w:rsidRPr="00245623">
        <w:rPr>
          <w:lang w:val="en-US"/>
        </w:rPr>
        <w:t xml:space="preserve">/ms). </w:t>
      </w:r>
      <w:r w:rsidRPr="00245623">
        <w:rPr>
          <w:lang w:val="en-US"/>
        </w:rPr>
        <w:t xml:space="preserve">Similarly, </w:t>
      </w:r>
      <w:r w:rsidR="002B425B" w:rsidRPr="00245623">
        <w:rPr>
          <w:lang w:val="en-US"/>
        </w:rPr>
        <w:t xml:space="preserve">the ADC of </w:t>
      </w:r>
      <w:proofErr w:type="spellStart"/>
      <w:r w:rsidR="00B55393" w:rsidRPr="00245623">
        <w:rPr>
          <w:lang w:val="en-US"/>
        </w:rPr>
        <w:t>tCho</w:t>
      </w:r>
      <w:proofErr w:type="spellEnd"/>
      <w:r w:rsidRPr="00245623">
        <w:rPr>
          <w:lang w:val="en-US"/>
        </w:rPr>
        <w:t xml:space="preserve"> was significantly higher in </w:t>
      </w:r>
      <w:r w:rsidR="00B55393" w:rsidRPr="00245623">
        <w:rPr>
          <w:lang w:val="en-US"/>
        </w:rPr>
        <w:t xml:space="preserve">CPZ (0.188 ± 0.041 </w:t>
      </w:r>
      <w:r w:rsidR="00B55393" w:rsidRPr="00245623">
        <w:t>μ</w:t>
      </w:r>
      <w:r w:rsidR="00B55393" w:rsidRPr="00245623">
        <w:rPr>
          <w:lang w:val="en-US"/>
        </w:rPr>
        <w:t>m</w:t>
      </w:r>
      <w:r w:rsidR="00B55393" w:rsidRPr="00245623">
        <w:rPr>
          <w:vertAlign w:val="superscript"/>
          <w:lang w:val="en-US"/>
        </w:rPr>
        <w:t>2</w:t>
      </w:r>
      <w:r w:rsidR="00B55393" w:rsidRPr="00245623">
        <w:rPr>
          <w:lang w:val="en-US"/>
        </w:rPr>
        <w:t xml:space="preserve">/ms, </w:t>
      </w:r>
      <w:r w:rsidR="00B55393" w:rsidRPr="00245623">
        <w:rPr>
          <w:i/>
          <w:lang w:val="en-US"/>
        </w:rPr>
        <w:t>p</w:t>
      </w:r>
      <w:r w:rsidR="00B55393" w:rsidRPr="00245623">
        <w:rPr>
          <w:lang w:val="en-US"/>
        </w:rPr>
        <w:t xml:space="preserve"> </w:t>
      </w:r>
      <w:r w:rsidR="00147974" w:rsidRPr="00245623">
        <w:rPr>
          <w:lang w:val="en-US"/>
        </w:rPr>
        <w:t>=</w:t>
      </w:r>
      <w:r w:rsidR="00B55393" w:rsidRPr="00245623">
        <w:rPr>
          <w:lang w:val="en-US"/>
        </w:rPr>
        <w:t xml:space="preserve"> 0.0</w:t>
      </w:r>
      <w:r w:rsidR="00147974" w:rsidRPr="00245623">
        <w:rPr>
          <w:lang w:val="en-US"/>
        </w:rPr>
        <w:t>17</w:t>
      </w:r>
      <w:r w:rsidR="00B55393" w:rsidRPr="00245623">
        <w:rPr>
          <w:lang w:val="en-US"/>
        </w:rPr>
        <w:t xml:space="preserve">) with respect to </w:t>
      </w:r>
      <w:r w:rsidR="00B515F3" w:rsidRPr="00245623">
        <w:rPr>
          <w:lang w:val="en-US"/>
        </w:rPr>
        <w:t>control</w:t>
      </w:r>
      <w:r w:rsidR="0039095A" w:rsidRPr="00245623">
        <w:rPr>
          <w:lang w:val="en-US"/>
        </w:rPr>
        <w:t xml:space="preserve"> mice</w:t>
      </w:r>
      <w:r w:rsidR="00B55393" w:rsidRPr="00245623">
        <w:rPr>
          <w:lang w:val="en-US"/>
        </w:rPr>
        <w:t xml:space="preserve"> (0.120 ± 0.033 </w:t>
      </w:r>
      <w:r w:rsidR="00B55393" w:rsidRPr="00245623">
        <w:t>μ</w:t>
      </w:r>
      <w:r w:rsidR="00B55393" w:rsidRPr="00245623">
        <w:rPr>
          <w:lang w:val="en-US"/>
        </w:rPr>
        <w:t>m</w:t>
      </w:r>
      <w:r w:rsidR="00B55393" w:rsidRPr="00245623">
        <w:rPr>
          <w:vertAlign w:val="superscript"/>
          <w:lang w:val="en-US"/>
        </w:rPr>
        <w:t>2</w:t>
      </w:r>
      <w:r w:rsidR="00B55393" w:rsidRPr="00245623">
        <w:rPr>
          <w:lang w:val="en-US"/>
        </w:rPr>
        <w:t>/ms)</w:t>
      </w:r>
      <w:r w:rsidRPr="00245623">
        <w:rPr>
          <w:lang w:val="en-US"/>
        </w:rPr>
        <w:t>.</w:t>
      </w:r>
      <w:r w:rsidR="00A12C04" w:rsidRPr="00245623">
        <w:rPr>
          <w:lang w:val="en-US"/>
        </w:rPr>
        <w:t xml:space="preserve"> </w:t>
      </w:r>
      <w:r w:rsidR="00B55393" w:rsidRPr="00245623">
        <w:rPr>
          <w:lang w:val="en-US"/>
        </w:rPr>
        <w:t xml:space="preserve">The ADCs of </w:t>
      </w:r>
      <w:proofErr w:type="spellStart"/>
      <w:r w:rsidR="002B425B" w:rsidRPr="00245623">
        <w:rPr>
          <w:lang w:val="en-US"/>
        </w:rPr>
        <w:t>tNAA</w:t>
      </w:r>
      <w:proofErr w:type="spellEnd"/>
      <w:r w:rsidR="002B425B" w:rsidRPr="00245623">
        <w:rPr>
          <w:lang w:val="en-US"/>
        </w:rPr>
        <w:t xml:space="preserve"> and </w:t>
      </w:r>
      <w:proofErr w:type="spellStart"/>
      <w:r w:rsidR="002B425B" w:rsidRPr="00245623">
        <w:rPr>
          <w:lang w:val="en-US"/>
        </w:rPr>
        <w:t>tCr</w:t>
      </w:r>
      <w:proofErr w:type="spellEnd"/>
      <w:r w:rsidR="002B425B" w:rsidRPr="00245623">
        <w:rPr>
          <w:lang w:val="en-US"/>
        </w:rPr>
        <w:t xml:space="preserve"> did not differ significantly between the two groups</w:t>
      </w:r>
      <w:r w:rsidR="00511A18" w:rsidRPr="00245623">
        <w:rPr>
          <w:lang w:val="en-US"/>
        </w:rPr>
        <w:t>, neither did t</w:t>
      </w:r>
      <w:r w:rsidR="009D0E84" w:rsidRPr="00245623">
        <w:rPr>
          <w:lang w:val="en-US"/>
        </w:rPr>
        <w:t xml:space="preserve">he ADCs of Tau and </w:t>
      </w:r>
      <w:proofErr w:type="spellStart"/>
      <w:r w:rsidR="009D0E84" w:rsidRPr="00245623">
        <w:rPr>
          <w:lang w:val="en-US"/>
        </w:rPr>
        <w:t>Glu</w:t>
      </w:r>
      <w:proofErr w:type="spellEnd"/>
      <w:r w:rsidR="009D0E84" w:rsidRPr="00245623">
        <w:rPr>
          <w:lang w:val="en-US"/>
        </w:rPr>
        <w:t>.</w:t>
      </w:r>
      <w:r w:rsidR="00511A18" w:rsidRPr="00245623">
        <w:rPr>
          <w:lang w:val="en-US"/>
        </w:rPr>
        <w:t xml:space="preserve"> Metabolite ADCs are summarized in Table 1.</w:t>
      </w:r>
    </w:p>
    <w:p w14:paraId="041CF9D2" w14:textId="77777777" w:rsidR="00635C03" w:rsidRPr="00245623" w:rsidRDefault="00635C03" w:rsidP="00B0286C">
      <w:pPr>
        <w:spacing w:line="480" w:lineRule="auto"/>
        <w:jc w:val="both"/>
        <w:rPr>
          <w:b/>
          <w:bCs/>
          <w:sz w:val="26"/>
          <w:szCs w:val="26"/>
          <w:lang w:val="en-US"/>
        </w:rPr>
      </w:pPr>
    </w:p>
    <w:p w14:paraId="061383A6" w14:textId="76D88289" w:rsidR="00A12C04" w:rsidRPr="00245623" w:rsidRDefault="006B5E60" w:rsidP="00B0286C">
      <w:pPr>
        <w:spacing w:line="480" w:lineRule="auto"/>
        <w:jc w:val="both"/>
        <w:rPr>
          <w:b/>
          <w:bCs/>
          <w:sz w:val="26"/>
          <w:szCs w:val="26"/>
          <w:lang w:val="en-US"/>
        </w:rPr>
      </w:pPr>
      <w:r w:rsidRPr="00245623">
        <w:rPr>
          <w:b/>
          <w:bCs/>
          <w:sz w:val="26"/>
          <w:szCs w:val="26"/>
          <w:lang w:val="en-US"/>
        </w:rPr>
        <w:t xml:space="preserve">3.3 </w:t>
      </w:r>
      <w:r w:rsidR="009F5CF9" w:rsidRPr="00245623">
        <w:rPr>
          <w:b/>
          <w:bCs/>
          <w:sz w:val="26"/>
          <w:szCs w:val="26"/>
          <w:lang w:val="en-US"/>
        </w:rPr>
        <w:t>Concentrations</w:t>
      </w:r>
    </w:p>
    <w:p w14:paraId="35AE3A71" w14:textId="718BF4DA" w:rsidR="00550662" w:rsidRPr="00245623" w:rsidRDefault="005E70A5" w:rsidP="00A12C04">
      <w:pPr>
        <w:spacing w:line="480" w:lineRule="auto"/>
        <w:jc w:val="both"/>
        <w:rPr>
          <w:lang w:val="en-US"/>
        </w:rPr>
      </w:pPr>
      <w:r w:rsidRPr="00245623">
        <w:rPr>
          <w:lang w:val="en-US"/>
        </w:rPr>
        <w:t xml:space="preserve">Figure </w:t>
      </w:r>
      <w:r w:rsidR="00FB4C2A" w:rsidRPr="00245623">
        <w:rPr>
          <w:lang w:val="en-US"/>
        </w:rPr>
        <w:t>4</w:t>
      </w:r>
      <w:r w:rsidRPr="00245623">
        <w:rPr>
          <w:lang w:val="en-US"/>
        </w:rPr>
        <w:t xml:space="preserve">B shows metabolite concentrations relative to </w:t>
      </w:r>
      <w:proofErr w:type="spellStart"/>
      <w:r w:rsidRPr="00245623">
        <w:rPr>
          <w:lang w:val="en-US"/>
        </w:rPr>
        <w:t>tCr</w:t>
      </w:r>
      <w:proofErr w:type="spellEnd"/>
      <w:r w:rsidRPr="00245623">
        <w:rPr>
          <w:lang w:val="en-US"/>
        </w:rPr>
        <w:t xml:space="preserve">, evaluated for </w:t>
      </w:r>
      <w:r w:rsidR="00B515F3" w:rsidRPr="00245623">
        <w:rPr>
          <w:lang w:val="en-US"/>
        </w:rPr>
        <w:t>control</w:t>
      </w:r>
      <w:r w:rsidRPr="00245623">
        <w:rPr>
          <w:lang w:val="en-US"/>
        </w:rPr>
        <w:t xml:space="preserve"> and CPZ</w:t>
      </w:r>
      <w:r w:rsidR="00B515F3" w:rsidRPr="00245623">
        <w:rPr>
          <w:lang w:val="en-US"/>
        </w:rPr>
        <w:t xml:space="preserve"> mice</w:t>
      </w:r>
      <w:r w:rsidRPr="00245623">
        <w:rPr>
          <w:lang w:val="en-US"/>
        </w:rPr>
        <w:t xml:space="preserve">. </w:t>
      </w:r>
      <w:proofErr w:type="spellStart"/>
      <w:r w:rsidRPr="00245623">
        <w:rPr>
          <w:lang w:val="en-US"/>
        </w:rPr>
        <w:t>tNAA</w:t>
      </w:r>
      <w:proofErr w:type="spellEnd"/>
      <w:r w:rsidRPr="00245623">
        <w:rPr>
          <w:lang w:val="en-US"/>
        </w:rPr>
        <w:t>/</w:t>
      </w:r>
      <w:proofErr w:type="spellStart"/>
      <w:r w:rsidRPr="00245623">
        <w:rPr>
          <w:lang w:val="en-US"/>
        </w:rPr>
        <w:t>tCr</w:t>
      </w:r>
      <w:proofErr w:type="spellEnd"/>
      <w:r w:rsidRPr="00245623">
        <w:rPr>
          <w:lang w:val="en-US"/>
        </w:rPr>
        <w:t xml:space="preserve"> was significantly lower in CPZ (</w:t>
      </w:r>
      <w:r w:rsidRPr="00245623">
        <w:rPr>
          <w:bCs/>
          <w:lang w:val="en-US"/>
        </w:rPr>
        <w:t xml:space="preserve">0.770 </w:t>
      </w:r>
      <w:r w:rsidRPr="00245623">
        <w:rPr>
          <w:lang w:val="en-US"/>
        </w:rPr>
        <w:t xml:space="preserve">± 0.096, </w:t>
      </w:r>
      <w:r w:rsidRPr="00245623">
        <w:rPr>
          <w:i/>
          <w:lang w:val="en-US"/>
        </w:rPr>
        <w:t>p</w:t>
      </w:r>
      <w:r w:rsidRPr="00245623">
        <w:rPr>
          <w:lang w:val="en-US"/>
        </w:rPr>
        <w:t xml:space="preserve"> = 0.007) with respect to </w:t>
      </w:r>
      <w:r w:rsidR="00B515F3" w:rsidRPr="00245623">
        <w:rPr>
          <w:lang w:val="en-US"/>
        </w:rPr>
        <w:t>control</w:t>
      </w:r>
      <w:r w:rsidR="0039095A" w:rsidRPr="00245623">
        <w:rPr>
          <w:lang w:val="en-US"/>
        </w:rPr>
        <w:t xml:space="preserve"> mice</w:t>
      </w:r>
      <w:r w:rsidRPr="00245623">
        <w:rPr>
          <w:vertAlign w:val="subscript"/>
          <w:lang w:val="en-US"/>
        </w:rPr>
        <w:t xml:space="preserve"> </w:t>
      </w:r>
      <w:r w:rsidRPr="00245623">
        <w:rPr>
          <w:lang w:val="en-US"/>
        </w:rPr>
        <w:lastRenderedPageBreak/>
        <w:t xml:space="preserve">(0.913 ± 0.096). </w:t>
      </w:r>
      <w:proofErr w:type="spellStart"/>
      <w:r w:rsidRPr="00245623">
        <w:rPr>
          <w:lang w:val="en-US"/>
        </w:rPr>
        <w:t>tCho</w:t>
      </w:r>
      <w:proofErr w:type="spellEnd"/>
      <w:r w:rsidRPr="00245623">
        <w:rPr>
          <w:lang w:val="en-US"/>
        </w:rPr>
        <w:t>/</w:t>
      </w:r>
      <w:proofErr w:type="spellStart"/>
      <w:r w:rsidRPr="00245623">
        <w:rPr>
          <w:lang w:val="en-US"/>
        </w:rPr>
        <w:t>tCr</w:t>
      </w:r>
      <w:proofErr w:type="spellEnd"/>
      <w:r w:rsidRPr="00245623">
        <w:rPr>
          <w:lang w:val="en-US"/>
        </w:rPr>
        <w:t xml:space="preserve"> was also significantly lower in CPZ (0.090 ± 0.020, </w:t>
      </w:r>
      <w:r w:rsidRPr="00245623">
        <w:rPr>
          <w:i/>
          <w:lang w:val="en-US"/>
        </w:rPr>
        <w:t>p</w:t>
      </w:r>
      <w:r w:rsidRPr="00245623">
        <w:rPr>
          <w:lang w:val="en-US"/>
        </w:rPr>
        <w:t xml:space="preserve"> = 0.002) with respect to </w:t>
      </w:r>
      <w:r w:rsidR="00B515F3" w:rsidRPr="00245623">
        <w:rPr>
          <w:lang w:val="en-US"/>
        </w:rPr>
        <w:t>control</w:t>
      </w:r>
      <w:r w:rsidR="0039095A" w:rsidRPr="00245623">
        <w:rPr>
          <w:lang w:val="en-US"/>
        </w:rPr>
        <w:t xml:space="preserve"> mice</w:t>
      </w:r>
      <w:r w:rsidRPr="00245623">
        <w:rPr>
          <w:vertAlign w:val="subscript"/>
          <w:lang w:val="en-US"/>
        </w:rPr>
        <w:t xml:space="preserve"> </w:t>
      </w:r>
      <w:r w:rsidRPr="00245623">
        <w:rPr>
          <w:lang w:val="en-US"/>
        </w:rPr>
        <w:t xml:space="preserve">(0.142 ± 0.035). </w:t>
      </w:r>
      <w:r w:rsidR="00511A18" w:rsidRPr="00245623">
        <w:rPr>
          <w:lang w:val="en-US"/>
        </w:rPr>
        <w:t>In contrast, t</w:t>
      </w:r>
      <w:r w:rsidR="005E3D43" w:rsidRPr="00245623">
        <w:rPr>
          <w:lang w:val="en-US"/>
        </w:rPr>
        <w:t xml:space="preserve">he concentration of </w:t>
      </w:r>
      <w:proofErr w:type="spellStart"/>
      <w:r w:rsidR="005E3D43" w:rsidRPr="00245623">
        <w:rPr>
          <w:lang w:val="en-US"/>
        </w:rPr>
        <w:t>mIns</w:t>
      </w:r>
      <w:proofErr w:type="spellEnd"/>
      <w:r w:rsidR="005E3D43" w:rsidRPr="00245623">
        <w:rPr>
          <w:lang w:val="en-US"/>
        </w:rPr>
        <w:t xml:space="preserve"> did not differ significantly between groups</w:t>
      </w:r>
      <w:r w:rsidRPr="00245623">
        <w:rPr>
          <w:lang w:val="en-US"/>
        </w:rPr>
        <w:t>.</w:t>
      </w:r>
      <w:r w:rsidR="005E3D43" w:rsidRPr="00245623">
        <w:rPr>
          <w:lang w:val="en-US"/>
        </w:rPr>
        <w:t xml:space="preserve"> </w:t>
      </w:r>
      <w:r w:rsidR="00511A18" w:rsidRPr="00245623">
        <w:rPr>
          <w:lang w:val="en-US"/>
        </w:rPr>
        <w:t xml:space="preserve">In addition, </w:t>
      </w:r>
      <w:r w:rsidR="005E3D43" w:rsidRPr="00245623">
        <w:rPr>
          <w:lang w:val="en-US"/>
        </w:rPr>
        <w:t>Tau/</w:t>
      </w:r>
      <w:proofErr w:type="spellStart"/>
      <w:r w:rsidR="005E3D43" w:rsidRPr="00245623">
        <w:rPr>
          <w:lang w:val="en-US"/>
        </w:rPr>
        <w:t>tCr</w:t>
      </w:r>
      <w:proofErr w:type="spellEnd"/>
      <w:r w:rsidR="005E3D43" w:rsidRPr="00245623">
        <w:rPr>
          <w:lang w:val="en-US"/>
        </w:rPr>
        <w:t xml:space="preserve"> was significantly higher in CPZ (</w:t>
      </w:r>
      <w:r w:rsidR="00E4552E" w:rsidRPr="00245623">
        <w:rPr>
          <w:bCs/>
          <w:lang w:val="en-US"/>
        </w:rPr>
        <w:t xml:space="preserve">1.108 </w:t>
      </w:r>
      <w:r w:rsidR="00E4552E" w:rsidRPr="00245623">
        <w:rPr>
          <w:lang w:val="en-US"/>
        </w:rPr>
        <w:t xml:space="preserve">± 0.095, </w:t>
      </w:r>
      <w:r w:rsidR="00E4552E" w:rsidRPr="00245623">
        <w:rPr>
          <w:i/>
          <w:lang w:val="en-US"/>
        </w:rPr>
        <w:t>p</w:t>
      </w:r>
      <w:r w:rsidR="00E4552E" w:rsidRPr="00245623">
        <w:rPr>
          <w:lang w:val="en-US"/>
        </w:rPr>
        <w:t xml:space="preserve"> = 0.006</w:t>
      </w:r>
      <w:r w:rsidR="005E3D43" w:rsidRPr="00245623">
        <w:rPr>
          <w:lang w:val="en-US"/>
        </w:rPr>
        <w:t>) with respect to control mice (</w:t>
      </w:r>
      <w:r w:rsidR="00E4552E" w:rsidRPr="00245623">
        <w:rPr>
          <w:bCs/>
          <w:lang w:val="en-US"/>
        </w:rPr>
        <w:t xml:space="preserve">0.939 </w:t>
      </w:r>
      <w:r w:rsidR="00E4552E" w:rsidRPr="00245623">
        <w:rPr>
          <w:lang w:val="en-US"/>
        </w:rPr>
        <w:t>± 0.110</w:t>
      </w:r>
      <w:r w:rsidR="005E3D43" w:rsidRPr="00245623">
        <w:rPr>
          <w:lang w:val="en-US"/>
        </w:rPr>
        <w:t xml:space="preserve">), while </w:t>
      </w:r>
      <w:proofErr w:type="spellStart"/>
      <w:r w:rsidR="005E3D43" w:rsidRPr="00245623">
        <w:rPr>
          <w:lang w:val="en-US"/>
        </w:rPr>
        <w:t>Glu</w:t>
      </w:r>
      <w:proofErr w:type="spellEnd"/>
      <w:r w:rsidR="005E3D43" w:rsidRPr="00245623">
        <w:rPr>
          <w:lang w:val="en-US"/>
        </w:rPr>
        <w:t>/</w:t>
      </w:r>
      <w:proofErr w:type="spellStart"/>
      <w:r w:rsidR="005E3D43" w:rsidRPr="00245623">
        <w:rPr>
          <w:lang w:val="en-US"/>
        </w:rPr>
        <w:t>tCr</w:t>
      </w:r>
      <w:proofErr w:type="spellEnd"/>
      <w:r w:rsidR="005E3D43" w:rsidRPr="00245623">
        <w:rPr>
          <w:lang w:val="en-US"/>
        </w:rPr>
        <w:t xml:space="preserve"> was significantly lower in CPZ (</w:t>
      </w:r>
      <w:r w:rsidR="00E4552E" w:rsidRPr="00245623">
        <w:rPr>
          <w:lang w:val="en-US"/>
        </w:rPr>
        <w:t xml:space="preserve">0.541 ± 0.054, </w:t>
      </w:r>
      <w:r w:rsidR="00E4552E" w:rsidRPr="00245623">
        <w:rPr>
          <w:i/>
          <w:lang w:val="en-US"/>
        </w:rPr>
        <w:t>p</w:t>
      </w:r>
      <w:r w:rsidR="00E4552E" w:rsidRPr="00245623">
        <w:rPr>
          <w:lang w:val="en-US"/>
        </w:rPr>
        <w:t xml:space="preserve"> = 0.003</w:t>
      </w:r>
      <w:r w:rsidR="005E3D43" w:rsidRPr="00245623">
        <w:rPr>
          <w:lang w:val="en-US"/>
        </w:rPr>
        <w:t>) vs. control mice (</w:t>
      </w:r>
      <w:r w:rsidR="00E4552E" w:rsidRPr="00245623">
        <w:rPr>
          <w:lang w:val="en-US"/>
        </w:rPr>
        <w:t>0.654 ± 0.070</w:t>
      </w:r>
      <w:r w:rsidR="005E3D43" w:rsidRPr="00245623">
        <w:rPr>
          <w:lang w:val="en-US"/>
        </w:rPr>
        <w:t>)</w:t>
      </w:r>
      <w:r w:rsidR="00511A18" w:rsidRPr="00245623">
        <w:rPr>
          <w:lang w:val="en-US"/>
        </w:rPr>
        <w:t>.</w:t>
      </w:r>
      <w:r w:rsidR="00100257" w:rsidRPr="00245623">
        <w:rPr>
          <w:lang w:val="en-US"/>
        </w:rPr>
        <w:t xml:space="preserve"> Metabolite concentrations are summarized in Table 1.</w:t>
      </w:r>
    </w:p>
    <w:p w14:paraId="73DE67EA" w14:textId="77777777" w:rsidR="00FC3E34" w:rsidRPr="00245623" w:rsidRDefault="00FC3E34" w:rsidP="00A12C04">
      <w:pPr>
        <w:spacing w:line="480" w:lineRule="auto"/>
        <w:jc w:val="both"/>
        <w:rPr>
          <w:b/>
          <w:bCs/>
          <w:sz w:val="26"/>
          <w:szCs w:val="26"/>
          <w:lang w:val="en-US"/>
        </w:rPr>
      </w:pPr>
    </w:p>
    <w:p w14:paraId="0695F7D3" w14:textId="2527407B" w:rsidR="00893DD1" w:rsidRPr="00245623" w:rsidRDefault="006B5E60" w:rsidP="00893DD1">
      <w:pPr>
        <w:spacing w:line="480" w:lineRule="auto"/>
        <w:jc w:val="both"/>
        <w:rPr>
          <w:b/>
          <w:bCs/>
          <w:iCs/>
          <w:sz w:val="26"/>
          <w:szCs w:val="26"/>
          <w:lang w:val="en-US"/>
        </w:rPr>
      </w:pPr>
      <w:r w:rsidRPr="00245623">
        <w:rPr>
          <w:b/>
          <w:bCs/>
          <w:sz w:val="26"/>
          <w:szCs w:val="26"/>
          <w:lang w:val="en-US"/>
        </w:rPr>
        <w:t xml:space="preserve">3.4 </w:t>
      </w:r>
      <w:r w:rsidR="00A12C04" w:rsidRPr="00245623">
        <w:rPr>
          <w:b/>
          <w:bCs/>
          <w:sz w:val="26"/>
          <w:szCs w:val="26"/>
          <w:lang w:val="en-US"/>
        </w:rPr>
        <w:t>Correlation</w:t>
      </w:r>
      <w:r w:rsidR="007229D7" w:rsidRPr="00245623">
        <w:rPr>
          <w:b/>
          <w:bCs/>
          <w:sz w:val="26"/>
          <w:szCs w:val="26"/>
          <w:lang w:val="en-US"/>
        </w:rPr>
        <w:t>s</w:t>
      </w:r>
      <w:r w:rsidR="00A12C04" w:rsidRPr="00245623">
        <w:rPr>
          <w:b/>
          <w:bCs/>
          <w:sz w:val="26"/>
          <w:szCs w:val="26"/>
          <w:lang w:val="en-US"/>
        </w:rPr>
        <w:t xml:space="preserve"> with </w:t>
      </w:r>
      <w:r w:rsidR="00893DD1" w:rsidRPr="00245623">
        <w:rPr>
          <w:b/>
          <w:bCs/>
          <w:iCs/>
          <w:sz w:val="26"/>
          <w:szCs w:val="26"/>
          <w:lang w:val="en-US"/>
        </w:rPr>
        <w:t xml:space="preserve">immunohistochemistry </w:t>
      </w:r>
      <w:r w:rsidR="007229D7" w:rsidRPr="00245623">
        <w:rPr>
          <w:b/>
          <w:bCs/>
          <w:iCs/>
          <w:sz w:val="26"/>
          <w:szCs w:val="26"/>
          <w:lang w:val="en-US"/>
        </w:rPr>
        <w:t>markers</w:t>
      </w:r>
    </w:p>
    <w:p w14:paraId="485254A3" w14:textId="0F544994" w:rsidR="001C3B17" w:rsidRPr="00245623" w:rsidRDefault="00997B71" w:rsidP="001C3B17">
      <w:pPr>
        <w:spacing w:line="480" w:lineRule="auto"/>
        <w:jc w:val="both"/>
        <w:rPr>
          <w:sz w:val="22"/>
          <w:szCs w:val="22"/>
          <w:lang w:val="en-US"/>
        </w:rPr>
      </w:pPr>
      <w:r w:rsidRPr="00245623">
        <w:rPr>
          <w:lang w:val="en-US"/>
        </w:rPr>
        <w:t>Representative</w:t>
      </w:r>
      <w:r w:rsidR="00F042D6" w:rsidRPr="00245623">
        <w:rPr>
          <w:lang w:val="en-US"/>
        </w:rPr>
        <w:t xml:space="preserve"> IHC images for astrocytic </w:t>
      </w:r>
      <w:r w:rsidRPr="00245623">
        <w:rPr>
          <w:lang w:val="en-US"/>
        </w:rPr>
        <w:t>(GFAP)</w:t>
      </w:r>
      <w:r w:rsidR="00D006B0" w:rsidRPr="00245623">
        <w:rPr>
          <w:lang w:val="en-US"/>
        </w:rPr>
        <w:t>,</w:t>
      </w:r>
      <w:r w:rsidR="00F042D6" w:rsidRPr="00245623">
        <w:rPr>
          <w:lang w:val="en-US"/>
        </w:rPr>
        <w:t xml:space="preserve"> microglial </w:t>
      </w:r>
      <w:r w:rsidRPr="00245623">
        <w:rPr>
          <w:lang w:val="en-US"/>
        </w:rPr>
        <w:t>(I</w:t>
      </w:r>
      <w:r w:rsidR="00BE618C" w:rsidRPr="00245623">
        <w:rPr>
          <w:lang w:val="en-US"/>
        </w:rPr>
        <w:t>BA</w:t>
      </w:r>
      <w:r w:rsidRPr="00245623">
        <w:rPr>
          <w:lang w:val="en-US"/>
        </w:rPr>
        <w:t>1)</w:t>
      </w:r>
      <w:r w:rsidR="00D006B0" w:rsidRPr="00245623">
        <w:rPr>
          <w:lang w:val="en-US"/>
        </w:rPr>
        <w:t>, and oligodendroglial (CC1)</w:t>
      </w:r>
      <w:r w:rsidRPr="00245623">
        <w:rPr>
          <w:lang w:val="en-US"/>
        </w:rPr>
        <w:t xml:space="preserve"> </w:t>
      </w:r>
      <w:r w:rsidR="00F042D6" w:rsidRPr="00245623">
        <w:rPr>
          <w:lang w:val="en-US"/>
        </w:rPr>
        <w:t>immuno</w:t>
      </w:r>
      <w:r w:rsidRPr="00245623">
        <w:rPr>
          <w:lang w:val="en-US"/>
        </w:rPr>
        <w:t>detection</w:t>
      </w:r>
      <w:r w:rsidR="00F042D6" w:rsidRPr="00245623">
        <w:rPr>
          <w:lang w:val="en-US"/>
        </w:rPr>
        <w:t xml:space="preserve"> </w:t>
      </w:r>
      <w:r w:rsidR="00280F10" w:rsidRPr="00245623">
        <w:rPr>
          <w:lang w:val="en-US"/>
        </w:rPr>
        <w:t xml:space="preserve">in </w:t>
      </w:r>
      <w:r w:rsidR="00F042D6" w:rsidRPr="00245623">
        <w:rPr>
          <w:lang w:val="en-US"/>
        </w:rPr>
        <w:t xml:space="preserve">the </w:t>
      </w:r>
      <w:r w:rsidR="00C57464" w:rsidRPr="00245623">
        <w:rPr>
          <w:lang w:val="en-US"/>
        </w:rPr>
        <w:t>corpus callosum</w:t>
      </w:r>
      <w:r w:rsidR="00F042D6" w:rsidRPr="00245623">
        <w:rPr>
          <w:lang w:val="en-US"/>
        </w:rPr>
        <w:t xml:space="preserve"> of </w:t>
      </w:r>
      <w:r w:rsidR="0039095A" w:rsidRPr="00245623">
        <w:rPr>
          <w:lang w:val="en-US"/>
        </w:rPr>
        <w:t>control</w:t>
      </w:r>
      <w:r w:rsidR="00280F10" w:rsidRPr="00245623">
        <w:rPr>
          <w:lang w:val="en-US"/>
        </w:rPr>
        <w:t xml:space="preserve"> and CPZ mice</w:t>
      </w:r>
      <w:r w:rsidR="00F042D6" w:rsidRPr="00245623">
        <w:rPr>
          <w:lang w:val="en-US"/>
        </w:rPr>
        <w:t xml:space="preserve"> are shown in Figure </w:t>
      </w:r>
      <w:r w:rsidR="00F536C7" w:rsidRPr="00245623">
        <w:rPr>
          <w:lang w:val="en-US"/>
        </w:rPr>
        <w:t>5</w:t>
      </w:r>
      <w:r w:rsidR="00477D6F" w:rsidRPr="00245623">
        <w:rPr>
          <w:lang w:val="en-US"/>
        </w:rPr>
        <w:t>A</w:t>
      </w:r>
      <w:r w:rsidR="00F042D6" w:rsidRPr="00245623">
        <w:rPr>
          <w:lang w:val="en-US"/>
        </w:rPr>
        <w:t>.</w:t>
      </w:r>
      <w:r w:rsidR="00F042D6" w:rsidRPr="00245623">
        <w:rPr>
          <w:sz w:val="22"/>
          <w:szCs w:val="22"/>
          <w:lang w:val="en-US"/>
        </w:rPr>
        <w:t xml:space="preserve"> </w:t>
      </w:r>
      <w:r w:rsidR="00164B02" w:rsidRPr="00245623">
        <w:rPr>
          <w:color w:val="00000A"/>
          <w:lang w:val="en-US"/>
        </w:rPr>
        <w:t>AAF</w:t>
      </w:r>
      <w:r w:rsidR="00D006B0" w:rsidRPr="00245623">
        <w:rPr>
          <w:color w:val="00000A"/>
          <w:lang w:val="en-US"/>
        </w:rPr>
        <w:t>,</w:t>
      </w:r>
      <w:r w:rsidR="00164B02" w:rsidRPr="00245623">
        <w:rPr>
          <w:color w:val="00000A"/>
          <w:lang w:val="en-US"/>
        </w:rPr>
        <w:t xml:space="preserve"> MAF</w:t>
      </w:r>
      <w:r w:rsidR="00D006B0" w:rsidRPr="00245623">
        <w:rPr>
          <w:color w:val="00000A"/>
          <w:lang w:val="en-US"/>
        </w:rPr>
        <w:t>, and OAF</w:t>
      </w:r>
      <w:r w:rsidR="00BE618C" w:rsidRPr="00245623">
        <w:rPr>
          <w:color w:val="00000A"/>
          <w:lang w:val="en-US"/>
        </w:rPr>
        <w:t xml:space="preserve"> </w:t>
      </w:r>
      <w:r w:rsidR="00477D6F" w:rsidRPr="00245623">
        <w:rPr>
          <w:color w:val="00000A"/>
          <w:lang w:val="en-US"/>
        </w:rPr>
        <w:t>quantified</w:t>
      </w:r>
      <w:r w:rsidR="00893DD1" w:rsidRPr="00245623">
        <w:rPr>
          <w:color w:val="00000A"/>
          <w:lang w:val="en-US"/>
        </w:rPr>
        <w:t xml:space="preserve"> in </w:t>
      </w:r>
      <w:r w:rsidR="00893DD1" w:rsidRPr="00245623">
        <w:rPr>
          <w:lang w:val="en-US"/>
        </w:rPr>
        <w:t xml:space="preserve">the body of the </w:t>
      </w:r>
      <w:r w:rsidR="00164B02" w:rsidRPr="00245623">
        <w:rPr>
          <w:lang w:val="en-US"/>
        </w:rPr>
        <w:t>corpus callosum</w:t>
      </w:r>
      <w:r w:rsidR="00893DD1" w:rsidRPr="00245623">
        <w:rPr>
          <w:lang w:val="en-US"/>
        </w:rPr>
        <w:t xml:space="preserve"> are reported for CPZ and </w:t>
      </w:r>
      <w:r w:rsidR="0039095A" w:rsidRPr="00245623">
        <w:rPr>
          <w:lang w:val="en-US"/>
        </w:rPr>
        <w:t>control mice</w:t>
      </w:r>
      <w:r w:rsidR="00893DD1" w:rsidRPr="00245623">
        <w:rPr>
          <w:vertAlign w:val="subscript"/>
          <w:lang w:val="en-US"/>
        </w:rPr>
        <w:t xml:space="preserve"> </w:t>
      </w:r>
      <w:r w:rsidR="00893DD1" w:rsidRPr="00245623">
        <w:rPr>
          <w:lang w:val="en-US"/>
        </w:rPr>
        <w:t xml:space="preserve">in Figure </w:t>
      </w:r>
      <w:r w:rsidR="00F536C7" w:rsidRPr="00245623">
        <w:rPr>
          <w:lang w:val="en-US"/>
        </w:rPr>
        <w:t>5</w:t>
      </w:r>
      <w:r w:rsidR="00477D6F" w:rsidRPr="00245623">
        <w:rPr>
          <w:lang w:val="en-US"/>
        </w:rPr>
        <w:t>B</w:t>
      </w:r>
      <w:r w:rsidR="00893DD1" w:rsidRPr="00245623">
        <w:rPr>
          <w:lang w:val="en-US"/>
        </w:rPr>
        <w:t xml:space="preserve">. </w:t>
      </w:r>
      <w:r w:rsidR="007F26F2" w:rsidRPr="00245623">
        <w:rPr>
          <w:lang w:val="en-US"/>
        </w:rPr>
        <w:t>Significant</w:t>
      </w:r>
      <w:r w:rsidRPr="00245623">
        <w:rPr>
          <w:lang w:val="en-US"/>
        </w:rPr>
        <w:t>ly</w:t>
      </w:r>
      <w:r w:rsidR="007F26F2" w:rsidRPr="00245623">
        <w:rPr>
          <w:lang w:val="en-US"/>
        </w:rPr>
        <w:t xml:space="preserve"> </w:t>
      </w:r>
      <w:r w:rsidR="00BE53A4" w:rsidRPr="00245623">
        <w:rPr>
          <w:lang w:val="en-US"/>
        </w:rPr>
        <w:t>higher</w:t>
      </w:r>
      <w:r w:rsidR="007F26F2" w:rsidRPr="00245623">
        <w:rPr>
          <w:lang w:val="en-US"/>
        </w:rPr>
        <w:t xml:space="preserve"> AAF and MAF were observed in CPZ (22.7 ± 3.8 % and 24.3 ± 5.7 % respectively, </w:t>
      </w:r>
      <w:r w:rsidR="007F26F2" w:rsidRPr="00245623">
        <w:rPr>
          <w:i/>
          <w:lang w:val="en-US"/>
        </w:rPr>
        <w:t>p</w:t>
      </w:r>
      <w:r w:rsidR="007F26F2" w:rsidRPr="00245623">
        <w:rPr>
          <w:lang w:val="en-US"/>
        </w:rPr>
        <w:t xml:space="preserve"> &lt; 0.001 for both) with respect to </w:t>
      </w:r>
      <w:r w:rsidR="0039095A" w:rsidRPr="00245623">
        <w:rPr>
          <w:lang w:val="en-US"/>
        </w:rPr>
        <w:t>control mice</w:t>
      </w:r>
      <w:r w:rsidR="007F26F2" w:rsidRPr="00245623">
        <w:rPr>
          <w:lang w:val="en-US"/>
        </w:rPr>
        <w:t xml:space="preserve"> (7.5 ± 1.6 % and 7.2 ± 1.5 % respectively). </w:t>
      </w:r>
      <w:r w:rsidR="00AE12CA" w:rsidRPr="00245623">
        <w:rPr>
          <w:lang w:val="en-US"/>
        </w:rPr>
        <w:t>Conversely</w:t>
      </w:r>
      <w:r w:rsidR="007F26F2" w:rsidRPr="00245623">
        <w:rPr>
          <w:lang w:val="en-US"/>
        </w:rPr>
        <w:t xml:space="preserve">, </w:t>
      </w:r>
      <w:r w:rsidR="00755F19" w:rsidRPr="00245623">
        <w:rPr>
          <w:lang w:val="en-US"/>
        </w:rPr>
        <w:t xml:space="preserve">a </w:t>
      </w:r>
      <w:r w:rsidR="007F26F2" w:rsidRPr="00245623">
        <w:rPr>
          <w:lang w:val="en-US"/>
        </w:rPr>
        <w:t xml:space="preserve">significant </w:t>
      </w:r>
      <w:r w:rsidR="00BE53A4" w:rsidRPr="00245623">
        <w:rPr>
          <w:lang w:val="en-US"/>
        </w:rPr>
        <w:t>lower</w:t>
      </w:r>
      <w:r w:rsidR="007F26F2" w:rsidRPr="00245623">
        <w:rPr>
          <w:lang w:val="en-US"/>
        </w:rPr>
        <w:t xml:space="preserve"> OAF was observed in CPZ (15.7 ± 2.4 %, </w:t>
      </w:r>
      <w:r w:rsidR="007F26F2" w:rsidRPr="00245623">
        <w:rPr>
          <w:i/>
          <w:lang w:val="en-US"/>
        </w:rPr>
        <w:t>p</w:t>
      </w:r>
      <w:r w:rsidR="00A4385E" w:rsidRPr="00245623">
        <w:rPr>
          <w:lang w:val="en-US"/>
        </w:rPr>
        <w:t xml:space="preserve"> </w:t>
      </w:r>
      <w:r w:rsidR="007F26F2" w:rsidRPr="00245623">
        <w:rPr>
          <w:lang w:val="en-US"/>
        </w:rPr>
        <w:t xml:space="preserve">= 0.003) with respect to </w:t>
      </w:r>
      <w:r w:rsidR="0039095A" w:rsidRPr="00245623">
        <w:rPr>
          <w:lang w:val="en-US"/>
        </w:rPr>
        <w:t>control mice</w:t>
      </w:r>
      <w:r w:rsidR="007F26F2" w:rsidRPr="00245623">
        <w:rPr>
          <w:lang w:val="en-US"/>
        </w:rPr>
        <w:t xml:space="preserve"> (25.3 ± 3.7 %).</w:t>
      </w:r>
    </w:p>
    <w:p w14:paraId="1985C789" w14:textId="6BF97577" w:rsidR="008F6F2B" w:rsidRPr="00245623" w:rsidRDefault="00893DD1" w:rsidP="00B0286C">
      <w:pPr>
        <w:spacing w:line="480" w:lineRule="auto"/>
        <w:jc w:val="both"/>
        <w:rPr>
          <w:lang w:val="en-US"/>
        </w:rPr>
      </w:pPr>
      <w:r w:rsidRPr="00245623">
        <w:rPr>
          <w:lang w:val="en-US"/>
        </w:rPr>
        <w:t xml:space="preserve">Figure </w:t>
      </w:r>
      <w:r w:rsidR="00F536C7" w:rsidRPr="00245623">
        <w:rPr>
          <w:lang w:val="en-US"/>
        </w:rPr>
        <w:t>6</w:t>
      </w:r>
      <w:r w:rsidRPr="00245623">
        <w:rPr>
          <w:lang w:val="en-US"/>
        </w:rPr>
        <w:t xml:space="preserve"> shows correlations between </w:t>
      </w:r>
      <w:r w:rsidR="00F042D6" w:rsidRPr="00245623">
        <w:rPr>
          <w:lang w:val="en-US"/>
        </w:rPr>
        <w:t xml:space="preserve">the </w:t>
      </w:r>
      <w:r w:rsidRPr="00245623">
        <w:rPr>
          <w:lang w:val="en-US"/>
        </w:rPr>
        <w:t xml:space="preserve">IHC </w:t>
      </w:r>
      <w:r w:rsidR="00066FB2" w:rsidRPr="00245623">
        <w:rPr>
          <w:lang w:val="en-US"/>
        </w:rPr>
        <w:t xml:space="preserve">glial </w:t>
      </w:r>
      <w:r w:rsidRPr="00245623">
        <w:rPr>
          <w:lang w:val="en-US"/>
        </w:rPr>
        <w:t xml:space="preserve">markers and </w:t>
      </w:r>
      <w:r w:rsidR="00F042D6" w:rsidRPr="00245623">
        <w:rPr>
          <w:lang w:val="en-US"/>
        </w:rPr>
        <w:t xml:space="preserve">the </w:t>
      </w:r>
      <w:r w:rsidRPr="00245623">
        <w:rPr>
          <w:lang w:val="en-US"/>
        </w:rPr>
        <w:t>ADC</w:t>
      </w:r>
      <w:r w:rsidR="00F042D6" w:rsidRPr="00245623">
        <w:rPr>
          <w:lang w:val="en-US"/>
        </w:rPr>
        <w:t>s</w:t>
      </w:r>
      <w:r w:rsidR="00F042D6" w:rsidRPr="00245623">
        <w:rPr>
          <w:i/>
          <w:lang w:val="en-US"/>
        </w:rPr>
        <w:t xml:space="preserve"> </w:t>
      </w:r>
      <w:r w:rsidR="00F042D6" w:rsidRPr="00245623">
        <w:rPr>
          <w:lang w:val="en-US"/>
        </w:rPr>
        <w:t>of</w:t>
      </w:r>
      <w:r w:rsidR="00F042D6" w:rsidRPr="00245623">
        <w:rPr>
          <w:i/>
          <w:lang w:val="en-US"/>
        </w:rPr>
        <w:t xml:space="preserve"> </w:t>
      </w:r>
      <w:proofErr w:type="spellStart"/>
      <w:r w:rsidR="00F042D6" w:rsidRPr="00245623">
        <w:rPr>
          <w:lang w:val="en-US"/>
        </w:rPr>
        <w:t>mIns</w:t>
      </w:r>
      <w:proofErr w:type="spellEnd"/>
      <w:r w:rsidRPr="00245623">
        <w:rPr>
          <w:lang w:val="en-US"/>
        </w:rPr>
        <w:t xml:space="preserve"> (</w:t>
      </w:r>
      <w:r w:rsidR="00F536C7" w:rsidRPr="00245623">
        <w:rPr>
          <w:lang w:val="en-US"/>
        </w:rPr>
        <w:t>6</w:t>
      </w:r>
      <w:r w:rsidRPr="00245623">
        <w:rPr>
          <w:lang w:val="en-US"/>
        </w:rPr>
        <w:t>A</w:t>
      </w:r>
      <w:r w:rsidR="004A7A70" w:rsidRPr="00245623">
        <w:rPr>
          <w:lang w:val="en-US"/>
        </w:rPr>
        <w:t xml:space="preserve">, </w:t>
      </w:r>
      <w:r w:rsidR="00DF1FC6" w:rsidRPr="00245623">
        <w:rPr>
          <w:lang w:val="en-US"/>
        </w:rPr>
        <w:t>C</w:t>
      </w:r>
      <w:r w:rsidRPr="00245623">
        <w:rPr>
          <w:lang w:val="en-US"/>
        </w:rPr>
        <w:t xml:space="preserve">) and </w:t>
      </w:r>
      <w:proofErr w:type="spellStart"/>
      <w:r w:rsidRPr="00245623">
        <w:rPr>
          <w:lang w:val="en-US"/>
        </w:rPr>
        <w:t>tCho</w:t>
      </w:r>
      <w:proofErr w:type="spellEnd"/>
      <w:r w:rsidRPr="00245623">
        <w:rPr>
          <w:lang w:val="en-US"/>
        </w:rPr>
        <w:t xml:space="preserve"> (</w:t>
      </w:r>
      <w:r w:rsidR="00F536C7" w:rsidRPr="00245623">
        <w:rPr>
          <w:lang w:val="en-US"/>
        </w:rPr>
        <w:t>6</w:t>
      </w:r>
      <w:r w:rsidR="00DF1FC6" w:rsidRPr="00245623">
        <w:rPr>
          <w:lang w:val="en-US"/>
        </w:rPr>
        <w:t>B</w:t>
      </w:r>
      <w:r w:rsidR="004A7A70" w:rsidRPr="00245623">
        <w:rPr>
          <w:lang w:val="en-US"/>
        </w:rPr>
        <w:t>, D</w:t>
      </w:r>
      <w:r w:rsidRPr="00245623">
        <w:rPr>
          <w:lang w:val="en-US"/>
        </w:rPr>
        <w:t xml:space="preserve">). </w:t>
      </w:r>
      <w:r w:rsidR="00066FB2" w:rsidRPr="00245623">
        <w:rPr>
          <w:lang w:val="en-US"/>
        </w:rPr>
        <w:t>As expected, the CPZ</w:t>
      </w:r>
      <w:r w:rsidR="00500E20" w:rsidRPr="00245623">
        <w:rPr>
          <w:lang w:val="en-US"/>
        </w:rPr>
        <w:t xml:space="preserve"> data</w:t>
      </w:r>
      <w:r w:rsidR="00066FB2" w:rsidRPr="00245623">
        <w:rPr>
          <w:lang w:val="en-US"/>
        </w:rPr>
        <w:t xml:space="preserve"> show</w:t>
      </w:r>
      <w:r w:rsidR="0034269A" w:rsidRPr="00245623">
        <w:rPr>
          <w:lang w:val="en-US"/>
        </w:rPr>
        <w:t>ed</w:t>
      </w:r>
      <w:r w:rsidR="00066FB2" w:rsidRPr="00245623">
        <w:rPr>
          <w:lang w:val="en-US"/>
        </w:rPr>
        <w:t xml:space="preserve"> a larger spread with respect to the </w:t>
      </w:r>
      <w:r w:rsidR="0039095A" w:rsidRPr="00245623">
        <w:rPr>
          <w:lang w:val="en-US"/>
        </w:rPr>
        <w:t>control</w:t>
      </w:r>
      <w:r w:rsidR="00500E20" w:rsidRPr="00245623">
        <w:rPr>
          <w:lang w:val="en-US"/>
        </w:rPr>
        <w:t xml:space="preserve"> data</w:t>
      </w:r>
      <w:r w:rsidR="00066FB2" w:rsidRPr="00245623">
        <w:rPr>
          <w:lang w:val="en-US"/>
        </w:rPr>
        <w:t xml:space="preserve">, </w:t>
      </w:r>
      <w:r w:rsidR="00D26651" w:rsidRPr="00245623">
        <w:rPr>
          <w:lang w:val="en-US"/>
        </w:rPr>
        <w:t xml:space="preserve">likely </w:t>
      </w:r>
      <w:r w:rsidR="00066FB2" w:rsidRPr="00245623">
        <w:rPr>
          <w:lang w:val="en-US"/>
        </w:rPr>
        <w:t>reflecting variable inflammatory response</w:t>
      </w:r>
      <w:r w:rsidR="00500E20" w:rsidRPr="00245623">
        <w:rPr>
          <w:lang w:val="en-US"/>
        </w:rPr>
        <w:t xml:space="preserve"> in CPZ mice</w:t>
      </w:r>
      <w:r w:rsidR="00066FB2" w:rsidRPr="00245623">
        <w:rPr>
          <w:lang w:val="en-US"/>
        </w:rPr>
        <w:t xml:space="preserve">. </w:t>
      </w:r>
      <w:r w:rsidR="004A7A70" w:rsidRPr="00245623">
        <w:rPr>
          <w:lang w:val="en-US"/>
        </w:rPr>
        <w:t xml:space="preserve">Significant correlations were observed between the </w:t>
      </w:r>
      <w:r w:rsidR="004A7A70" w:rsidRPr="00245623">
        <w:rPr>
          <w:iCs/>
          <w:lang w:val="en-US"/>
        </w:rPr>
        <w:t>ADC</w:t>
      </w:r>
      <w:r w:rsidR="004A7A70" w:rsidRPr="00245623">
        <w:rPr>
          <w:lang w:val="en-US"/>
        </w:rPr>
        <w:t xml:space="preserve"> of </w:t>
      </w:r>
      <w:proofErr w:type="spellStart"/>
      <w:r w:rsidR="004A7A70" w:rsidRPr="00245623">
        <w:rPr>
          <w:lang w:val="en-US"/>
        </w:rPr>
        <w:t>mIns</w:t>
      </w:r>
      <w:proofErr w:type="spellEnd"/>
      <w:r w:rsidR="004A7A70" w:rsidRPr="00245623">
        <w:rPr>
          <w:lang w:val="en-US"/>
        </w:rPr>
        <w:t xml:space="preserve"> and both AAF (Pearson correlation coefficient </w:t>
      </w:r>
      <w:r w:rsidR="004A7A70" w:rsidRPr="00245623">
        <w:t>ρ</w:t>
      </w:r>
      <w:r w:rsidR="004A7A70" w:rsidRPr="00245623">
        <w:rPr>
          <w:lang w:val="en-US"/>
        </w:rPr>
        <w:t xml:space="preserve"> = 0.84, </w:t>
      </w:r>
      <w:r w:rsidR="004A7A70" w:rsidRPr="00245623">
        <w:rPr>
          <w:i/>
          <w:lang w:val="en-US"/>
        </w:rPr>
        <w:t>p</w:t>
      </w:r>
      <w:r w:rsidR="004A7A70" w:rsidRPr="00245623">
        <w:rPr>
          <w:lang w:val="en-US"/>
        </w:rPr>
        <w:t xml:space="preserve"> = 0.004; Figure </w:t>
      </w:r>
      <w:r w:rsidR="00F536C7" w:rsidRPr="00245623">
        <w:rPr>
          <w:lang w:val="en-US"/>
        </w:rPr>
        <w:t>6</w:t>
      </w:r>
      <w:r w:rsidR="004A7A70" w:rsidRPr="00245623">
        <w:rPr>
          <w:lang w:val="en-US"/>
        </w:rPr>
        <w:t xml:space="preserve">A) and MAF (Pearson correlation coefficient </w:t>
      </w:r>
      <w:r w:rsidR="004A7A70" w:rsidRPr="00245623">
        <w:t>ρ</w:t>
      </w:r>
      <w:r w:rsidR="004A7A70" w:rsidRPr="00245623">
        <w:rPr>
          <w:lang w:val="en-US"/>
        </w:rPr>
        <w:t xml:space="preserve"> = 0.80, </w:t>
      </w:r>
      <w:r w:rsidR="004A7A70" w:rsidRPr="00245623">
        <w:rPr>
          <w:i/>
          <w:lang w:val="en-US"/>
        </w:rPr>
        <w:t>p</w:t>
      </w:r>
      <w:r w:rsidR="004A7A70" w:rsidRPr="00245623">
        <w:rPr>
          <w:lang w:val="en-US"/>
        </w:rPr>
        <w:t xml:space="preserve"> = 0.009; Figure </w:t>
      </w:r>
      <w:r w:rsidR="00F536C7" w:rsidRPr="00245623">
        <w:rPr>
          <w:lang w:val="en-US"/>
        </w:rPr>
        <w:t>6</w:t>
      </w:r>
      <w:r w:rsidR="00715A61" w:rsidRPr="00245623">
        <w:rPr>
          <w:lang w:val="en-US"/>
        </w:rPr>
        <w:t>C</w:t>
      </w:r>
      <w:r w:rsidR="004A7A70" w:rsidRPr="00245623">
        <w:rPr>
          <w:lang w:val="en-US"/>
        </w:rPr>
        <w:t xml:space="preserve">). </w:t>
      </w:r>
      <w:r w:rsidR="007D2214" w:rsidRPr="00245623">
        <w:rPr>
          <w:lang w:val="en-US"/>
        </w:rPr>
        <w:t xml:space="preserve">A </w:t>
      </w:r>
      <w:r w:rsidR="004A7A70" w:rsidRPr="00245623">
        <w:rPr>
          <w:lang w:val="en-US"/>
        </w:rPr>
        <w:t xml:space="preserve">linear correlation was </w:t>
      </w:r>
      <w:r w:rsidR="007D2214" w:rsidRPr="00245623">
        <w:rPr>
          <w:lang w:val="en-US"/>
        </w:rPr>
        <w:t xml:space="preserve">still </w:t>
      </w:r>
      <w:r w:rsidR="004A7A70" w:rsidRPr="00245623">
        <w:rPr>
          <w:lang w:val="en-US"/>
        </w:rPr>
        <w:t xml:space="preserve">observed between the ADC of </w:t>
      </w:r>
      <w:proofErr w:type="spellStart"/>
      <w:r w:rsidR="004A7A70" w:rsidRPr="00245623">
        <w:rPr>
          <w:lang w:val="en-US"/>
        </w:rPr>
        <w:t>mIns</w:t>
      </w:r>
      <w:proofErr w:type="spellEnd"/>
      <w:r w:rsidR="004A7A70" w:rsidRPr="00245623">
        <w:rPr>
          <w:lang w:val="en-US"/>
        </w:rPr>
        <w:t xml:space="preserve"> and AAF (Pearson correlation coefficient </w:t>
      </w:r>
      <w:r w:rsidR="004A7A70" w:rsidRPr="00245623">
        <w:t>ρ</w:t>
      </w:r>
      <w:r w:rsidR="004A7A70" w:rsidRPr="00245623">
        <w:rPr>
          <w:lang w:val="en-US"/>
        </w:rPr>
        <w:t xml:space="preserve"> = 0.99, </w:t>
      </w:r>
      <w:r w:rsidR="004A7A70" w:rsidRPr="00245623">
        <w:rPr>
          <w:i/>
          <w:lang w:val="en-US"/>
        </w:rPr>
        <w:t>p</w:t>
      </w:r>
      <w:r w:rsidR="004A7A70" w:rsidRPr="00245623">
        <w:rPr>
          <w:lang w:val="en-US"/>
        </w:rPr>
        <w:t xml:space="preserve"> = 0.009) </w:t>
      </w:r>
      <w:r w:rsidR="00D26651" w:rsidRPr="00245623">
        <w:rPr>
          <w:lang w:val="en-US"/>
        </w:rPr>
        <w:t>when considering the</w:t>
      </w:r>
      <w:r w:rsidR="004A7A70" w:rsidRPr="00245623">
        <w:rPr>
          <w:lang w:val="en-US"/>
        </w:rPr>
        <w:t xml:space="preserve"> CPZ cohort</w:t>
      </w:r>
      <w:r w:rsidR="00D26651" w:rsidRPr="00245623">
        <w:rPr>
          <w:lang w:val="en-US"/>
        </w:rPr>
        <w:t xml:space="preserve"> alone</w:t>
      </w:r>
      <w:r w:rsidR="004A7A70" w:rsidRPr="00245623">
        <w:rPr>
          <w:lang w:val="en-US"/>
        </w:rPr>
        <w:t xml:space="preserve"> (Figure </w:t>
      </w:r>
      <w:r w:rsidR="00F536C7" w:rsidRPr="00245623">
        <w:rPr>
          <w:lang w:val="en-US"/>
        </w:rPr>
        <w:t>6</w:t>
      </w:r>
      <w:r w:rsidR="004A7A70" w:rsidRPr="00245623">
        <w:rPr>
          <w:lang w:val="en-US"/>
        </w:rPr>
        <w:t xml:space="preserve">A). </w:t>
      </w:r>
      <w:r w:rsidR="00604FAF" w:rsidRPr="00245623">
        <w:rPr>
          <w:lang w:val="en-US"/>
        </w:rPr>
        <w:t xml:space="preserve"> AAF and MAF were also significantly correlated (</w:t>
      </w:r>
      <w:r w:rsidR="002722C0" w:rsidRPr="00245623">
        <w:rPr>
          <w:lang w:val="en-US"/>
        </w:rPr>
        <w:t xml:space="preserve">Pearson correlation coefficient </w:t>
      </w:r>
      <w:r w:rsidR="002722C0" w:rsidRPr="00245623">
        <w:t>ρ</w:t>
      </w:r>
      <w:r w:rsidR="002722C0" w:rsidRPr="00245623">
        <w:rPr>
          <w:lang w:val="en-US"/>
        </w:rPr>
        <w:t xml:space="preserve"> = 0.91, </w:t>
      </w:r>
      <w:r w:rsidR="002722C0" w:rsidRPr="00245623">
        <w:rPr>
          <w:i/>
          <w:lang w:val="en-US"/>
        </w:rPr>
        <w:t>p</w:t>
      </w:r>
      <w:r w:rsidR="002722C0" w:rsidRPr="00245623">
        <w:rPr>
          <w:lang w:val="en-US"/>
        </w:rPr>
        <w:t xml:space="preserve"> &lt; 0.001</w:t>
      </w:r>
      <w:r w:rsidR="001C0FD6" w:rsidRPr="00245623">
        <w:rPr>
          <w:lang w:val="en-US"/>
        </w:rPr>
        <w:t xml:space="preserve">, Figure </w:t>
      </w:r>
      <w:r w:rsidR="00F536C7" w:rsidRPr="00245623">
        <w:rPr>
          <w:lang w:val="en-US"/>
        </w:rPr>
        <w:t>7</w:t>
      </w:r>
      <w:r w:rsidR="00604FAF" w:rsidRPr="00245623">
        <w:rPr>
          <w:lang w:val="en-US"/>
        </w:rPr>
        <w:t>), indicating a strong interplay between astrocytic and microglia activation.</w:t>
      </w:r>
    </w:p>
    <w:p w14:paraId="40C3667F" w14:textId="02814E49" w:rsidR="002722C0" w:rsidRPr="00245623" w:rsidRDefault="003B589F" w:rsidP="00B0286C">
      <w:pPr>
        <w:spacing w:line="480" w:lineRule="auto"/>
        <w:jc w:val="both"/>
        <w:rPr>
          <w:lang w:val="en-US"/>
        </w:rPr>
      </w:pPr>
      <w:r w:rsidRPr="00245623">
        <w:rPr>
          <w:lang w:val="en-US"/>
        </w:rPr>
        <w:t>The c</w:t>
      </w:r>
      <w:r w:rsidR="00500E20" w:rsidRPr="00245623">
        <w:rPr>
          <w:lang w:val="en-US"/>
        </w:rPr>
        <w:t xml:space="preserve">orrelations </w:t>
      </w:r>
      <w:r w:rsidR="004A7A70" w:rsidRPr="00245623">
        <w:rPr>
          <w:lang w:val="en-US"/>
        </w:rPr>
        <w:t xml:space="preserve">between the </w:t>
      </w:r>
      <w:r w:rsidR="004A7A70" w:rsidRPr="00245623">
        <w:rPr>
          <w:iCs/>
          <w:lang w:val="en-US"/>
        </w:rPr>
        <w:t>ADC</w:t>
      </w:r>
      <w:r w:rsidR="004A7A70" w:rsidRPr="00245623">
        <w:rPr>
          <w:lang w:val="en-US"/>
        </w:rPr>
        <w:t xml:space="preserve"> of </w:t>
      </w:r>
      <w:proofErr w:type="spellStart"/>
      <w:r w:rsidR="004A7A70" w:rsidRPr="00245623">
        <w:rPr>
          <w:lang w:val="en-US"/>
        </w:rPr>
        <w:t>tCho</w:t>
      </w:r>
      <w:proofErr w:type="spellEnd"/>
      <w:r w:rsidR="004A7A70" w:rsidRPr="00245623">
        <w:rPr>
          <w:lang w:val="en-US"/>
        </w:rPr>
        <w:t xml:space="preserve"> and both AAF (Pearson correlation coefficient </w:t>
      </w:r>
      <w:r w:rsidR="004A7A70" w:rsidRPr="00245623">
        <w:t>ρ</w:t>
      </w:r>
      <w:r w:rsidR="004A7A70" w:rsidRPr="00245623">
        <w:rPr>
          <w:lang w:val="en-US"/>
        </w:rPr>
        <w:t xml:space="preserve"> = 0.62, </w:t>
      </w:r>
      <w:r w:rsidR="004A7A70" w:rsidRPr="00245623">
        <w:rPr>
          <w:i/>
          <w:lang w:val="en-US"/>
        </w:rPr>
        <w:t>p</w:t>
      </w:r>
      <w:r w:rsidR="004A7A70" w:rsidRPr="00245623">
        <w:rPr>
          <w:lang w:val="en-US"/>
        </w:rPr>
        <w:t xml:space="preserve"> = 0.077; Figure </w:t>
      </w:r>
      <w:r w:rsidR="00F536C7" w:rsidRPr="00245623">
        <w:rPr>
          <w:lang w:val="en-US"/>
        </w:rPr>
        <w:t>6</w:t>
      </w:r>
      <w:r w:rsidR="00715A61" w:rsidRPr="00245623">
        <w:rPr>
          <w:lang w:val="en-US"/>
        </w:rPr>
        <w:t>B</w:t>
      </w:r>
      <w:r w:rsidR="004A7A70" w:rsidRPr="00245623">
        <w:rPr>
          <w:lang w:val="en-US"/>
        </w:rPr>
        <w:t xml:space="preserve">) and MAF (Pearson correlation coefficient </w:t>
      </w:r>
      <w:r w:rsidR="004A7A70" w:rsidRPr="00245623">
        <w:t>ρ</w:t>
      </w:r>
      <w:r w:rsidR="004A7A70" w:rsidRPr="00245623">
        <w:rPr>
          <w:lang w:val="en-US"/>
        </w:rPr>
        <w:t xml:space="preserve"> = 0.61, </w:t>
      </w:r>
      <w:r w:rsidR="004A7A70" w:rsidRPr="00245623">
        <w:rPr>
          <w:i/>
          <w:lang w:val="en-US"/>
        </w:rPr>
        <w:t>p</w:t>
      </w:r>
      <w:r w:rsidR="004A7A70" w:rsidRPr="00245623">
        <w:rPr>
          <w:lang w:val="en-US"/>
        </w:rPr>
        <w:t xml:space="preserve"> = 0.082; Figure </w:t>
      </w:r>
      <w:r w:rsidR="00F536C7" w:rsidRPr="00245623">
        <w:rPr>
          <w:lang w:val="en-US"/>
        </w:rPr>
        <w:t>6</w:t>
      </w:r>
      <w:r w:rsidR="004A7A70" w:rsidRPr="00245623">
        <w:rPr>
          <w:lang w:val="en-US"/>
        </w:rPr>
        <w:t>D),</w:t>
      </w:r>
      <w:r w:rsidR="00500E20" w:rsidRPr="00245623">
        <w:rPr>
          <w:lang w:val="en-US"/>
        </w:rPr>
        <w:t xml:space="preserve"> were just above the threshold for statistical significance. N</w:t>
      </w:r>
      <w:r w:rsidR="004A7A70" w:rsidRPr="00245623">
        <w:rPr>
          <w:lang w:val="en-US"/>
        </w:rPr>
        <w:t xml:space="preserve">o significant correlations were observed </w:t>
      </w:r>
      <w:r w:rsidR="004A7A70" w:rsidRPr="00245623">
        <w:rPr>
          <w:lang w:val="en-US"/>
        </w:rPr>
        <w:lastRenderedPageBreak/>
        <w:t xml:space="preserve">between the </w:t>
      </w:r>
      <w:r w:rsidR="004A7A70" w:rsidRPr="00245623">
        <w:rPr>
          <w:iCs/>
          <w:lang w:val="en-US"/>
        </w:rPr>
        <w:t>ADC</w:t>
      </w:r>
      <w:r w:rsidR="004A7A70" w:rsidRPr="00245623">
        <w:rPr>
          <w:lang w:val="en-US"/>
        </w:rPr>
        <w:t xml:space="preserve"> of </w:t>
      </w:r>
      <w:proofErr w:type="spellStart"/>
      <w:r w:rsidR="004A7A70" w:rsidRPr="00245623">
        <w:rPr>
          <w:lang w:val="en-US"/>
        </w:rPr>
        <w:t>tCho</w:t>
      </w:r>
      <w:proofErr w:type="spellEnd"/>
      <w:r w:rsidR="004A7A70" w:rsidRPr="00245623">
        <w:rPr>
          <w:lang w:val="en-US"/>
        </w:rPr>
        <w:t xml:space="preserve"> and neither of the IHC glial markers when considering the CPZ group alone.</w:t>
      </w:r>
      <w:r w:rsidR="002722C0" w:rsidRPr="00245623">
        <w:rPr>
          <w:lang w:val="en-US"/>
        </w:rPr>
        <w:t xml:space="preserve"> </w:t>
      </w:r>
    </w:p>
    <w:p w14:paraId="2D4EE002" w14:textId="45574A1F" w:rsidR="00893DD1" w:rsidRPr="00245623" w:rsidRDefault="00893DD1" w:rsidP="00B0286C">
      <w:pPr>
        <w:spacing w:line="480" w:lineRule="auto"/>
        <w:jc w:val="both"/>
        <w:rPr>
          <w:lang w:val="en-US"/>
        </w:rPr>
      </w:pPr>
      <w:r w:rsidRPr="00245623">
        <w:rPr>
          <w:lang w:val="en-US"/>
        </w:rPr>
        <w:t xml:space="preserve">No statistically significant correlations were observed between </w:t>
      </w:r>
      <w:r w:rsidR="0034269A" w:rsidRPr="00245623">
        <w:rPr>
          <w:lang w:val="en-US"/>
        </w:rPr>
        <w:t xml:space="preserve">the </w:t>
      </w:r>
      <w:r w:rsidRPr="00245623">
        <w:rPr>
          <w:lang w:val="en-US"/>
        </w:rPr>
        <w:t xml:space="preserve">IHC glial markers and </w:t>
      </w:r>
      <w:proofErr w:type="spellStart"/>
      <w:r w:rsidRPr="00245623">
        <w:rPr>
          <w:lang w:val="en-US"/>
        </w:rPr>
        <w:t>tCr</w:t>
      </w:r>
      <w:proofErr w:type="spellEnd"/>
      <w:r w:rsidRPr="00245623">
        <w:rPr>
          <w:lang w:val="en-US"/>
        </w:rPr>
        <w:t xml:space="preserve"> </w:t>
      </w:r>
      <w:r w:rsidR="00F26FAB" w:rsidRPr="00245623">
        <w:rPr>
          <w:lang w:val="en-US"/>
        </w:rPr>
        <w:t xml:space="preserve">nor </w:t>
      </w:r>
      <w:proofErr w:type="spellStart"/>
      <w:r w:rsidR="00F26FAB" w:rsidRPr="00245623">
        <w:rPr>
          <w:lang w:val="en-US"/>
        </w:rPr>
        <w:t>tNAA</w:t>
      </w:r>
      <w:proofErr w:type="spellEnd"/>
      <w:r w:rsidR="00F26FAB" w:rsidRPr="00245623">
        <w:rPr>
          <w:lang w:val="en-US"/>
        </w:rPr>
        <w:t xml:space="preserve"> </w:t>
      </w:r>
      <w:r w:rsidRPr="00245623">
        <w:rPr>
          <w:lang w:val="en-US"/>
        </w:rPr>
        <w:t>ADC</w:t>
      </w:r>
      <w:r w:rsidR="00F26FAB" w:rsidRPr="00245623">
        <w:rPr>
          <w:lang w:val="en-US"/>
        </w:rPr>
        <w:t>s</w:t>
      </w:r>
      <w:r w:rsidRPr="00245623">
        <w:rPr>
          <w:lang w:val="en-US"/>
        </w:rPr>
        <w:t xml:space="preserve"> (data not shown). </w:t>
      </w:r>
    </w:p>
    <w:p w14:paraId="44829AAA" w14:textId="63CE6961" w:rsidR="003B589F" w:rsidRPr="00245623" w:rsidRDefault="003B589F">
      <w:pPr>
        <w:jc w:val="both"/>
        <w:rPr>
          <w:lang w:val="en-US"/>
        </w:rPr>
      </w:pPr>
    </w:p>
    <w:p w14:paraId="00AD9BB6" w14:textId="36DB0613" w:rsidR="00FE2896" w:rsidRPr="00245623" w:rsidRDefault="00FE2896">
      <w:pPr>
        <w:jc w:val="both"/>
        <w:rPr>
          <w:b/>
          <w:sz w:val="28"/>
          <w:lang w:val="en-US"/>
        </w:rPr>
      </w:pPr>
    </w:p>
    <w:p w14:paraId="0B84D522" w14:textId="77777777" w:rsidR="00F71BB2" w:rsidRPr="00245623" w:rsidRDefault="00F71BB2">
      <w:pPr>
        <w:jc w:val="both"/>
        <w:rPr>
          <w:b/>
          <w:sz w:val="28"/>
          <w:lang w:val="en-US"/>
        </w:rPr>
      </w:pPr>
    </w:p>
    <w:p w14:paraId="617456FA" w14:textId="1259D7EB" w:rsidR="0015760B" w:rsidRPr="00245623" w:rsidRDefault="00EE520D" w:rsidP="006B5E60">
      <w:pPr>
        <w:pStyle w:val="Paragraphedeliste"/>
        <w:numPr>
          <w:ilvl w:val="0"/>
          <w:numId w:val="3"/>
        </w:numPr>
        <w:jc w:val="both"/>
        <w:rPr>
          <w:b/>
          <w:sz w:val="28"/>
          <w:lang w:val="en-US"/>
        </w:rPr>
      </w:pPr>
      <w:r w:rsidRPr="00245623">
        <w:rPr>
          <w:b/>
          <w:sz w:val="28"/>
          <w:lang w:val="en-US"/>
        </w:rPr>
        <w:t>Discussion</w:t>
      </w:r>
    </w:p>
    <w:p w14:paraId="4739B240" w14:textId="77777777" w:rsidR="003B589F" w:rsidRPr="00245623" w:rsidRDefault="003B589F" w:rsidP="003B589F">
      <w:pPr>
        <w:jc w:val="both"/>
        <w:rPr>
          <w:b/>
          <w:sz w:val="28"/>
          <w:lang w:val="en-US"/>
        </w:rPr>
      </w:pPr>
    </w:p>
    <w:p w14:paraId="0B781DA4" w14:textId="100DFED7" w:rsidR="0040637F" w:rsidRPr="00245623" w:rsidRDefault="006B5E60" w:rsidP="00716474">
      <w:pPr>
        <w:autoSpaceDE w:val="0"/>
        <w:autoSpaceDN w:val="0"/>
        <w:adjustRightInd w:val="0"/>
        <w:spacing w:line="480" w:lineRule="auto"/>
        <w:jc w:val="both"/>
        <w:rPr>
          <w:b/>
          <w:lang w:val="en-US"/>
        </w:rPr>
      </w:pPr>
      <w:r w:rsidRPr="00245623">
        <w:rPr>
          <w:b/>
          <w:lang w:val="en-US"/>
        </w:rPr>
        <w:t xml:space="preserve">4.1 </w:t>
      </w:r>
      <w:proofErr w:type="spellStart"/>
      <w:r w:rsidR="0040637F" w:rsidRPr="00245623">
        <w:rPr>
          <w:b/>
          <w:lang w:val="en-US"/>
        </w:rPr>
        <w:t>mIns</w:t>
      </w:r>
      <w:proofErr w:type="spellEnd"/>
      <w:r w:rsidR="0040637F" w:rsidRPr="00245623">
        <w:rPr>
          <w:b/>
          <w:lang w:val="en-US"/>
        </w:rPr>
        <w:t xml:space="preserve"> and </w:t>
      </w:r>
      <w:proofErr w:type="spellStart"/>
      <w:r w:rsidR="0040637F" w:rsidRPr="00245623">
        <w:rPr>
          <w:b/>
          <w:lang w:val="en-US"/>
        </w:rPr>
        <w:t>tCho</w:t>
      </w:r>
      <w:proofErr w:type="spellEnd"/>
      <w:r w:rsidR="0040637F" w:rsidRPr="00245623">
        <w:rPr>
          <w:b/>
          <w:lang w:val="en-US"/>
        </w:rPr>
        <w:t xml:space="preserve"> diffusion probe ongoing inflammation processes</w:t>
      </w:r>
      <w:r w:rsidR="00B23637" w:rsidRPr="00245623">
        <w:rPr>
          <w:b/>
          <w:lang w:val="en-US"/>
        </w:rPr>
        <w:t xml:space="preserve"> in CPZ mice</w:t>
      </w:r>
    </w:p>
    <w:p w14:paraId="1A15CEA2" w14:textId="5D5BD2EC" w:rsidR="00F03394" w:rsidRPr="00245623" w:rsidRDefault="007F3C71" w:rsidP="00716474">
      <w:pPr>
        <w:autoSpaceDE w:val="0"/>
        <w:autoSpaceDN w:val="0"/>
        <w:adjustRightInd w:val="0"/>
        <w:spacing w:line="480" w:lineRule="auto"/>
        <w:jc w:val="both"/>
        <w:rPr>
          <w:lang w:val="en-US"/>
        </w:rPr>
      </w:pPr>
      <w:r w:rsidRPr="00245623">
        <w:rPr>
          <w:lang w:val="en-US"/>
        </w:rPr>
        <w:t>We reported the first investigation of</w:t>
      </w:r>
      <w:r w:rsidR="0018201D" w:rsidRPr="00245623">
        <w:rPr>
          <w:lang w:val="en-US"/>
        </w:rPr>
        <w:t xml:space="preserve"> </w:t>
      </w:r>
      <w:r w:rsidR="00C40821" w:rsidRPr="00245623">
        <w:rPr>
          <w:lang w:val="en-US"/>
        </w:rPr>
        <w:t>white matter</w:t>
      </w:r>
      <w:r w:rsidR="00CB1C3F" w:rsidRPr="00245623">
        <w:rPr>
          <w:lang w:val="en-US"/>
        </w:rPr>
        <w:t xml:space="preserve"> </w:t>
      </w:r>
      <w:r w:rsidR="00BC250D" w:rsidRPr="00245623">
        <w:rPr>
          <w:lang w:val="en-US"/>
        </w:rPr>
        <w:t xml:space="preserve">glial </w:t>
      </w:r>
      <w:r w:rsidRPr="00245623">
        <w:rPr>
          <w:lang w:val="en-US"/>
        </w:rPr>
        <w:t xml:space="preserve">cell </w:t>
      </w:r>
      <w:r w:rsidR="00BC250D" w:rsidRPr="00245623">
        <w:rPr>
          <w:lang w:val="en-US"/>
        </w:rPr>
        <w:t>reactivity</w:t>
      </w:r>
      <w:r w:rsidRPr="00245623">
        <w:rPr>
          <w:lang w:val="en-US"/>
        </w:rPr>
        <w:t xml:space="preserve"> in the CPZ mouse model</w:t>
      </w:r>
      <w:r w:rsidR="0018201D" w:rsidRPr="00245623">
        <w:rPr>
          <w:lang w:val="en-US"/>
        </w:rPr>
        <w:t xml:space="preserve"> using in vivo DW-MRS</w:t>
      </w:r>
      <w:r w:rsidRPr="00245623">
        <w:rPr>
          <w:lang w:val="en-US"/>
        </w:rPr>
        <w:t xml:space="preserve">. </w:t>
      </w:r>
      <w:r w:rsidR="0057609A" w:rsidRPr="00245623">
        <w:rPr>
          <w:lang w:val="en-US"/>
        </w:rPr>
        <w:t xml:space="preserve">The main finding of our study </w:t>
      </w:r>
      <w:r w:rsidR="00A91BA0" w:rsidRPr="00245623">
        <w:rPr>
          <w:lang w:val="en-US"/>
        </w:rPr>
        <w:t>was</w:t>
      </w:r>
      <w:r w:rsidR="0057609A" w:rsidRPr="00245623">
        <w:rPr>
          <w:lang w:val="en-US"/>
        </w:rPr>
        <w:t xml:space="preserve"> the</w:t>
      </w:r>
      <w:r w:rsidRPr="00245623">
        <w:rPr>
          <w:lang w:val="en-US"/>
        </w:rPr>
        <w:t xml:space="preserve"> </w:t>
      </w:r>
      <w:r w:rsidR="0018201D" w:rsidRPr="00245623">
        <w:rPr>
          <w:lang w:val="en-US"/>
        </w:rPr>
        <w:t>observ</w:t>
      </w:r>
      <w:r w:rsidR="0057609A" w:rsidRPr="00245623">
        <w:rPr>
          <w:lang w:val="en-US"/>
        </w:rPr>
        <w:t>ation of</w:t>
      </w:r>
      <w:r w:rsidRPr="00245623">
        <w:rPr>
          <w:lang w:val="en-US"/>
        </w:rPr>
        <w:t xml:space="preserve"> significant alterations</w:t>
      </w:r>
      <w:r w:rsidR="003D2A06" w:rsidRPr="00245623">
        <w:rPr>
          <w:lang w:val="en-US"/>
        </w:rPr>
        <w:t xml:space="preserve"> in</w:t>
      </w:r>
      <w:r w:rsidR="00F66177" w:rsidRPr="00245623">
        <w:rPr>
          <w:lang w:val="en-US"/>
        </w:rPr>
        <w:t xml:space="preserve"> the diffusivity of</w:t>
      </w:r>
      <w:r w:rsidR="003D2A06" w:rsidRPr="00245623">
        <w:rPr>
          <w:lang w:val="en-US"/>
        </w:rPr>
        <w:t xml:space="preserve"> bot</w:t>
      </w:r>
      <w:r w:rsidR="00F66177" w:rsidRPr="00245623">
        <w:rPr>
          <w:lang w:val="en-US"/>
        </w:rPr>
        <w:t>h glial metabolites</w:t>
      </w:r>
      <w:r w:rsidR="006C5AD2" w:rsidRPr="00245623">
        <w:rPr>
          <w:lang w:val="en-US"/>
        </w:rPr>
        <w:t xml:space="preserve"> under investigation</w:t>
      </w:r>
      <w:r w:rsidR="00F66177" w:rsidRPr="00245623">
        <w:rPr>
          <w:lang w:val="en-US"/>
        </w:rPr>
        <w:t>,</w:t>
      </w:r>
      <w:r w:rsidR="003D2A06" w:rsidRPr="00245623">
        <w:rPr>
          <w:lang w:val="en-US"/>
        </w:rPr>
        <w:t xml:space="preserve"> </w:t>
      </w:r>
      <w:proofErr w:type="spellStart"/>
      <w:r w:rsidR="003D2A06" w:rsidRPr="00245623">
        <w:rPr>
          <w:lang w:val="en-US"/>
        </w:rPr>
        <w:t>mIns</w:t>
      </w:r>
      <w:proofErr w:type="spellEnd"/>
      <w:r w:rsidR="003D2A06" w:rsidRPr="00245623">
        <w:rPr>
          <w:lang w:val="en-US"/>
        </w:rPr>
        <w:t xml:space="preserve"> and </w:t>
      </w:r>
      <w:proofErr w:type="spellStart"/>
      <w:r w:rsidR="003D2A06" w:rsidRPr="00245623">
        <w:rPr>
          <w:lang w:val="en-US"/>
        </w:rPr>
        <w:t>tCho</w:t>
      </w:r>
      <w:proofErr w:type="spellEnd"/>
      <w:r w:rsidR="00F66177" w:rsidRPr="00245623">
        <w:rPr>
          <w:lang w:val="en-US"/>
        </w:rPr>
        <w:t>,</w:t>
      </w:r>
      <w:r w:rsidRPr="00245623">
        <w:rPr>
          <w:lang w:val="en-US"/>
        </w:rPr>
        <w:t xml:space="preserve"> </w:t>
      </w:r>
      <w:r w:rsidR="00BF16A4" w:rsidRPr="00245623">
        <w:rPr>
          <w:lang w:val="en-US"/>
        </w:rPr>
        <w:t xml:space="preserve">measured </w:t>
      </w:r>
      <w:r w:rsidRPr="00245623">
        <w:rPr>
          <w:lang w:val="en-US"/>
        </w:rPr>
        <w:t xml:space="preserve">in </w:t>
      </w:r>
      <w:r w:rsidR="00D277FE" w:rsidRPr="00245623">
        <w:rPr>
          <w:lang w:val="en-US"/>
        </w:rPr>
        <w:t xml:space="preserve">the corpus callosum of </w:t>
      </w:r>
      <w:r w:rsidRPr="00245623">
        <w:rPr>
          <w:lang w:val="en-US"/>
        </w:rPr>
        <w:t>CPZ</w:t>
      </w:r>
      <w:r w:rsidR="0018201D" w:rsidRPr="00245623">
        <w:rPr>
          <w:lang w:val="en-US"/>
        </w:rPr>
        <w:t xml:space="preserve">-fed </w:t>
      </w:r>
      <w:r w:rsidRPr="00245623">
        <w:rPr>
          <w:lang w:val="en-US"/>
        </w:rPr>
        <w:t>mice</w:t>
      </w:r>
      <w:r w:rsidR="00CB1C3F" w:rsidRPr="00245623">
        <w:rPr>
          <w:lang w:val="en-US"/>
        </w:rPr>
        <w:t xml:space="preserve"> after 6 weeks of intoxication</w:t>
      </w:r>
      <w:r w:rsidR="00D277FE" w:rsidRPr="00245623">
        <w:rPr>
          <w:lang w:val="en-US"/>
        </w:rPr>
        <w:t>,</w:t>
      </w:r>
      <w:r w:rsidR="006C5AD2" w:rsidRPr="00245623">
        <w:rPr>
          <w:lang w:val="en-US"/>
        </w:rPr>
        <w:t xml:space="preserve"> </w:t>
      </w:r>
      <w:r w:rsidR="00E1431C" w:rsidRPr="00245623">
        <w:rPr>
          <w:lang w:val="en-US"/>
        </w:rPr>
        <w:t xml:space="preserve">and </w:t>
      </w:r>
      <w:r w:rsidR="00CB1C3F" w:rsidRPr="00245623">
        <w:rPr>
          <w:lang w:val="en-US"/>
        </w:rPr>
        <w:t xml:space="preserve">compared to </w:t>
      </w:r>
      <w:r w:rsidR="003B01CF" w:rsidRPr="00245623">
        <w:rPr>
          <w:lang w:val="en-US"/>
        </w:rPr>
        <w:t>control</w:t>
      </w:r>
      <w:r w:rsidR="00CB1C3F" w:rsidRPr="00245623">
        <w:rPr>
          <w:lang w:val="en-US"/>
        </w:rPr>
        <w:t xml:space="preserve"> mice. </w:t>
      </w:r>
      <w:r w:rsidR="00F03394" w:rsidRPr="00245623">
        <w:rPr>
          <w:lang w:val="en-US"/>
        </w:rPr>
        <w:t xml:space="preserve">The ADCs of </w:t>
      </w:r>
      <w:proofErr w:type="spellStart"/>
      <w:r w:rsidR="003D2A06" w:rsidRPr="00245623">
        <w:rPr>
          <w:lang w:val="en-US"/>
        </w:rPr>
        <w:t>mIns</w:t>
      </w:r>
      <w:proofErr w:type="spellEnd"/>
      <w:r w:rsidR="003D2A06" w:rsidRPr="00245623">
        <w:rPr>
          <w:lang w:val="en-US"/>
        </w:rPr>
        <w:t xml:space="preserve"> and </w:t>
      </w:r>
      <w:proofErr w:type="spellStart"/>
      <w:r w:rsidR="003D2A06" w:rsidRPr="00245623">
        <w:rPr>
          <w:lang w:val="en-US"/>
        </w:rPr>
        <w:t>tCho</w:t>
      </w:r>
      <w:proofErr w:type="spellEnd"/>
      <w:r w:rsidR="00F03394" w:rsidRPr="00245623">
        <w:rPr>
          <w:lang w:val="en-US"/>
        </w:rPr>
        <w:t xml:space="preserve"> </w:t>
      </w:r>
      <w:r w:rsidR="003D2A06" w:rsidRPr="00245623">
        <w:rPr>
          <w:lang w:val="en-US"/>
        </w:rPr>
        <w:t xml:space="preserve">were </w:t>
      </w:r>
      <w:r w:rsidR="00A91BA0" w:rsidRPr="00245623">
        <w:rPr>
          <w:lang w:val="en-US"/>
        </w:rPr>
        <w:t>significantly</w:t>
      </w:r>
      <w:r w:rsidR="003D2A06" w:rsidRPr="00245623">
        <w:rPr>
          <w:lang w:val="en-US"/>
        </w:rPr>
        <w:t xml:space="preserve"> </w:t>
      </w:r>
      <w:r w:rsidR="00A91BA0" w:rsidRPr="00245623">
        <w:rPr>
          <w:lang w:val="en-US"/>
        </w:rPr>
        <w:t>higher</w:t>
      </w:r>
      <w:r w:rsidR="003D2A06" w:rsidRPr="00245623">
        <w:rPr>
          <w:lang w:val="en-US"/>
        </w:rPr>
        <w:t xml:space="preserve"> in the CPZ group</w:t>
      </w:r>
      <w:r w:rsidR="0018201D" w:rsidRPr="00245623">
        <w:rPr>
          <w:lang w:val="en-US"/>
        </w:rPr>
        <w:t xml:space="preserve">, </w:t>
      </w:r>
      <w:r w:rsidR="00E1431C" w:rsidRPr="00245623">
        <w:rPr>
          <w:lang w:val="en-US"/>
        </w:rPr>
        <w:t>suggesting</w:t>
      </w:r>
      <w:r w:rsidR="004C2D0A" w:rsidRPr="00245623">
        <w:rPr>
          <w:lang w:val="en-US"/>
        </w:rPr>
        <w:t xml:space="preserve"> that these molecules </w:t>
      </w:r>
      <w:r w:rsidR="00BE53A4" w:rsidRPr="00245623">
        <w:rPr>
          <w:lang w:val="en-US"/>
        </w:rPr>
        <w:t>were</w:t>
      </w:r>
      <w:r w:rsidR="004C2D0A" w:rsidRPr="00245623">
        <w:rPr>
          <w:lang w:val="en-US"/>
        </w:rPr>
        <w:t xml:space="preserve"> diffusing in larger </w:t>
      </w:r>
      <w:r w:rsidR="00E1431C" w:rsidRPr="00245623">
        <w:rPr>
          <w:lang w:val="en-US"/>
        </w:rPr>
        <w:t>intra-</w:t>
      </w:r>
      <w:r w:rsidR="004C2D0A" w:rsidRPr="00245623">
        <w:rPr>
          <w:lang w:val="en-US"/>
        </w:rPr>
        <w:t xml:space="preserve">cellular compartments. </w:t>
      </w:r>
      <w:r w:rsidR="00C02BB5" w:rsidRPr="00245623">
        <w:rPr>
          <w:lang w:val="en-US"/>
        </w:rPr>
        <w:t xml:space="preserve">Because </w:t>
      </w:r>
      <w:proofErr w:type="spellStart"/>
      <w:r w:rsidR="00C02BB5" w:rsidRPr="00245623">
        <w:rPr>
          <w:lang w:val="en-US"/>
        </w:rPr>
        <w:t>mIns</w:t>
      </w:r>
      <w:proofErr w:type="spellEnd"/>
      <w:r w:rsidR="00C02BB5" w:rsidRPr="00245623">
        <w:rPr>
          <w:lang w:val="en-US"/>
        </w:rPr>
        <w:t xml:space="preserve"> and </w:t>
      </w:r>
      <w:proofErr w:type="spellStart"/>
      <w:r w:rsidR="00C02BB5" w:rsidRPr="00245623">
        <w:rPr>
          <w:lang w:val="en-US"/>
        </w:rPr>
        <w:t>tCho</w:t>
      </w:r>
      <w:proofErr w:type="spellEnd"/>
      <w:r w:rsidR="00C02BB5" w:rsidRPr="00245623">
        <w:rPr>
          <w:lang w:val="en-US"/>
        </w:rPr>
        <w:t xml:space="preserve"> are known to be located mainly in glial cells</w:t>
      </w:r>
      <w:r w:rsidR="00517DC8"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{"citationID":"njwWlBYN","properties":{"formattedCitation":"\\super 32,33\\nosupersub{}","plainCitation":"32,33","noteIndex":0},"citationItems":[{"id":602,"uris":["http://zotero.org/users/local/JiswOD7j/items/8R59WLGP"],"uri":["http://zotero.org/users/local/JiswOD7j/items/8R59WLGP"],"itemData":{"id":602,"type":"article-journal","abstract":"The rapid development of transgenic mouse models of neurodegenerative diseases, in parallel with the rapidly expanding growth of MR techniques for assessing in vivo, non-invasive, neurochemistry, offers the potential to develop novel markers of disease progression and therapy. In this review we discuss the interpretation and utility of MRS for the study of these transgenic mouse and rodent models of neurodegenerative diseases such as Alzheimer’s (AD), Huntington’s (HD) and Parkinson’s disease (PD). MRS studies can provide a wealth of information on various facets of in vivo neurochemistry, including neuronal health, gliosis, osmoregulation, energy metabolism, neuronal–glial cycling, and molecular synthesis rates. These data provide information on the etiology, natural history and therapy of these diseases. Mouse models enable longitudinal studies with useful time frames for evaluation of neuroprotection and therapeutic interventions using many of the potential MRS markers. In addition, the ability to manipulate the genome in these models allows better mechanistic understanding of the roles of the observable neurochemicals, such as N-acetylaspartate, in the brain. The argument is made that use of MRS, combined with correlative histology and other MRI techniques, will enable objective markers with which potential therapies can be followed in a quantitative fashion. Copyright # 2007 John Wiley &amp; Sons, Ltd.","container-title":"NMR in Biomedicine","DOI":"10.1002/nbm.1145","ISSN":"09523480, 10991492","issue":"3","journalAbbreviation":"NMR Biomed.","language":"en","page":"216-237","source":"DOI.org (Crossref)","title":"Application of MRS to mouse models of neurodegenerative illness","volume":"20","author":[{"family":"Choi","given":"Ji-Kyung"},{"family":"Dedeoglu","given":"Alpaslan"},{"family":"Jenkins","given":"Bruce G."}],"issued":{"date-parts":[["2007",5]]}},"label":"page"},{"id":603,"uris":["http://zotero.org/users/local/JiswOD7j/items/AIV34W4T"],"uri":["http://zotero.org/users/local/JiswOD7j/items/AIV34W4T"],"itemData":{"id":603,"type":"article-journal","container-title":"The Journal of Neuroscience","DOI":"10.1523/JNEUROSCI.13-03-00981.1993","ISSN":"0270-6474, 1529-2401","issue":"3","journalAbbreviation":"J. Neurosci.","language":"en","page":"981-989","source":"DOI.org (Crossref)","title":"Proton nuclear magnetic resonance spectroscopy unambiguously identifies different neural cell types","volume":"13","author":[{"family":"Urenjak","given":"J"},{"family":"Williams","given":"Sr"},{"family":"Gadian","given":"Dg"},{"family":"Noble","given":"M"}],"issued":{"date-parts":[["1993",3,1]]}},"label":"page"}],"schema":"https://github.com/citation-style-language/schema/raw/master/csl-citation.json"} </w:instrText>
      </w:r>
      <w:r w:rsidR="00BA76C6" w:rsidRPr="00245623">
        <w:rPr>
          <w:lang w:val="en-US"/>
        </w:rPr>
        <w:fldChar w:fldCharType="separate"/>
      </w:r>
      <w:r w:rsidR="00AC7306" w:rsidRPr="00245623">
        <w:rPr>
          <w:vertAlign w:val="superscript"/>
          <w:lang w:val="en-US"/>
        </w:rPr>
        <w:t>32,33</w:t>
      </w:r>
      <w:r w:rsidR="00BA76C6" w:rsidRPr="00245623">
        <w:rPr>
          <w:lang w:val="en-US"/>
        </w:rPr>
        <w:fldChar w:fldCharType="end"/>
      </w:r>
      <w:r w:rsidR="00C02BB5" w:rsidRPr="00245623">
        <w:rPr>
          <w:lang w:val="en-US"/>
        </w:rPr>
        <w:t>, t</w:t>
      </w:r>
      <w:r w:rsidR="004C2D0A" w:rsidRPr="00245623">
        <w:rPr>
          <w:lang w:val="en-US"/>
        </w:rPr>
        <w:t xml:space="preserve">his finding </w:t>
      </w:r>
      <w:r w:rsidR="00822079" w:rsidRPr="00245623">
        <w:rPr>
          <w:lang w:val="en-US"/>
        </w:rPr>
        <w:t>was</w:t>
      </w:r>
      <w:r w:rsidR="004C2D0A" w:rsidRPr="00245623">
        <w:rPr>
          <w:lang w:val="en-US"/>
        </w:rPr>
        <w:t xml:space="preserve"> </w:t>
      </w:r>
      <w:r w:rsidR="0018201D" w:rsidRPr="00245623">
        <w:rPr>
          <w:lang w:val="en-US"/>
        </w:rPr>
        <w:t>consistent with the presence</w:t>
      </w:r>
      <w:r w:rsidR="004C2D0A" w:rsidRPr="00245623">
        <w:rPr>
          <w:lang w:val="en-US"/>
        </w:rPr>
        <w:t xml:space="preserve"> </w:t>
      </w:r>
      <w:r w:rsidR="0018201D" w:rsidRPr="00245623">
        <w:rPr>
          <w:lang w:val="en-US"/>
        </w:rPr>
        <w:t>of hypertrophic glial cells</w:t>
      </w:r>
      <w:r w:rsidR="006F04CC" w:rsidRPr="00245623">
        <w:rPr>
          <w:lang w:val="en-US"/>
        </w:rPr>
        <w:t>, hallmark</w:t>
      </w:r>
      <w:r w:rsidR="00D566BF" w:rsidRPr="00245623">
        <w:rPr>
          <w:lang w:val="en-US"/>
        </w:rPr>
        <w:t>s</w:t>
      </w:r>
      <w:r w:rsidR="006F04CC" w:rsidRPr="00245623">
        <w:rPr>
          <w:lang w:val="en-US"/>
        </w:rPr>
        <w:t xml:space="preserve"> of ongoing inflammat</w:t>
      </w:r>
      <w:r w:rsidR="004A36AB" w:rsidRPr="00245623">
        <w:rPr>
          <w:lang w:val="en-US"/>
        </w:rPr>
        <w:t>ion</w:t>
      </w:r>
      <w:r w:rsidR="00E1431C" w:rsidRPr="00245623">
        <w:rPr>
          <w:lang w:val="en-US"/>
        </w:rPr>
        <w:t>, in the corpus callosum of CPZ mice</w:t>
      </w:r>
      <w:r w:rsidR="0018201D" w:rsidRPr="00245623">
        <w:rPr>
          <w:lang w:val="en-US"/>
        </w:rPr>
        <w:t xml:space="preserve">. </w:t>
      </w:r>
      <w:r w:rsidR="00F03394" w:rsidRPr="00245623">
        <w:rPr>
          <w:lang w:val="en-US"/>
        </w:rPr>
        <w:t xml:space="preserve">Despite the complexity of metabolic dynamics in the intra-cellular environment, previous studies </w:t>
      </w:r>
      <w:r w:rsidR="0091527E" w:rsidRPr="00245623">
        <w:rPr>
          <w:lang w:val="en-US"/>
        </w:rPr>
        <w:t xml:space="preserve">have </w:t>
      </w:r>
      <w:r w:rsidR="00A267E0" w:rsidRPr="00245623">
        <w:rPr>
          <w:lang w:val="en-US"/>
        </w:rPr>
        <w:t>show</w:t>
      </w:r>
      <w:r w:rsidR="0091527E" w:rsidRPr="00245623">
        <w:rPr>
          <w:lang w:val="en-US"/>
        </w:rPr>
        <w:t>n</w:t>
      </w:r>
      <w:r w:rsidR="00A267E0" w:rsidRPr="00245623">
        <w:rPr>
          <w:lang w:val="en-US"/>
        </w:rPr>
        <w:t xml:space="preserve"> evidence</w:t>
      </w:r>
      <w:r w:rsidR="00F03394" w:rsidRPr="00245623">
        <w:rPr>
          <w:lang w:val="en-US"/>
        </w:rPr>
        <w:t xml:space="preserve"> that the  metabolites </w:t>
      </w:r>
      <w:r w:rsidR="00FE56F8" w:rsidRPr="00245623">
        <w:rPr>
          <w:lang w:val="en-US"/>
        </w:rPr>
        <w:t>under investigation mainly</w:t>
      </w:r>
      <w:r w:rsidR="0066730C" w:rsidRPr="00245623">
        <w:rPr>
          <w:lang w:val="en-US"/>
        </w:rPr>
        <w:t xml:space="preserve"> diffus</w:t>
      </w:r>
      <w:r w:rsidR="00FE56F8" w:rsidRPr="00245623">
        <w:rPr>
          <w:lang w:val="en-US"/>
        </w:rPr>
        <w:t>e</w:t>
      </w:r>
      <w:r w:rsidR="00F03394" w:rsidRPr="00245623">
        <w:rPr>
          <w:lang w:val="en-US"/>
        </w:rPr>
        <w:t xml:space="preserve"> </w:t>
      </w:r>
      <w:r w:rsidR="0066730C" w:rsidRPr="00245623">
        <w:rPr>
          <w:lang w:val="en-US"/>
        </w:rPr>
        <w:t>in the cellular cytoplasm</w:t>
      </w:r>
      <w:r w:rsidR="00FE56F8" w:rsidRPr="00245623">
        <w:rPr>
          <w:lang w:val="en-US"/>
        </w:rPr>
        <w:t>, with negligible fraction confined in sub-cellular compartments</w:t>
      </w:r>
      <w:r w:rsidR="00835E18"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{"citationID":"NdKfLSxz","properties":{"formattedCitation":"\\super 26,34\\uc0\\u8211{}37\\nosupersub{}","plainCitation":"26,34–37","noteIndex":0},"citationItems":[{"id":323,"uris":["http://zotero.org/users/local/JiswOD7j/items/N9PUV4LJ"],"uri":["http://zotero.org/users/local/JiswOD7j/items/N9PUV4LJ"],"itemData":{"id":323,"type":"article-journal","abstract":"Purpose: To assess the potential correlation between metabolites diffusion and relaxation in the mouse brain, which is of importance for interpreting and modeling metabolite diffusion based on pure geometry, irrespective of relaxation properties (multicompartmental relaxation or surface relaxivity).\nMethods: A new diffusion-weighted magnetic resonance spectroscopy sequence is introduced, dubbed “STE-LASER,” which presents several nice properties, in particular the absence of cross-terms with selection gradients and a very clean localization. Metabolite diffusion is then measured in a large voxel in the mouse brain at 11.7 Tesla using a cryoprobe, resulting in excellent signal-to-noise ratio, up to very high b-values under different echo time, mixing time, and diffusion time combinations.\nResults: Our results suggest that the correlation between relaxation and diffusion properties is extremely small or even nonexistent for metabolites in the mouse brain.\nConclusion: The present work strongly supports the interpretation and modeling of metabolite diffusion primarily based on geometry, irrespective of relaxation properties, at least under current experimental conditions. Magn Reson Med 000:000–000, 2016. VC 2016 The Authors Magnetic Resonance in Medicine published by Wiley Periodicals, Inc. on behalf of International Society for Magnetic Resonance in Medicine. This is an open access article under the terms of the Creative Commons Attribution-NonCommercial-NoDerivs License, which permits use and distribution in any medium, provided the original work is properly cited, the use is non-commercial and no modifications or adaptations are made.","container-title":"Magnetic Resonance in Medicine","DOI":"10.1002/mrm.26217","ISSN":"07403194","issue":"4","language":"en","page":"1390-1398","source":"Crossref","title":"Metabolite diffusion up to very high &lt;i&gt;b&lt;/i&gt; in the mouse brain in vivo: Revisiting the potential correlation between relaxation and diffusion properties: Diffusion-Weighted MRS Applied in the Mouse Brain","title-short":"Metabolite diffusion up to very high &lt;i&gt;b&lt;/i&gt; in the mouse brain in vivo","volume":"77","author":[{"family":"Ligneul","given":"Clémence"},{"family":"Palombo","given":"Marco"},{"family":"Valette","given":"Julien"}],"issued":{"date-parts":[["2017",4]]}},"label":"page"},{"id":330,"uris":["http://zotero.org/users/local/JiswOD7j/items/LYERUPC7"],"uri":["http://zotero.org/users/local/JiswOD7j/items/LYERUPC7"],"itemData":{"id":330,"type":"article-journal","container-title":"Brain Structure and Function","DOI":"10.1007/s00429-014-0968-5","ISSN":"1863-2653, 1863-2661","issue":"3","language":"en","page":"1245-1254","source":"Crossref","title":"Brain intracellular metabolites are freely diffusing along cell fibers in grey and white matter, as measured by diffusion-weighted MR spectroscopy in the human brain at 7 T","volume":"221","author":[{"family":"Najac","given":"Chloé"},{"family":"Branzoli","given":"Francesca"},{"family":"Ronen","given":"Itamar"},{"family":"Valette","given":"Julien"}],"issued":{"date-parts":[["2016",4]]}},"label":"page"},{"id":333,"uris":["http://zotero.org/users/local/JiswOD7j/items/Z55A3JIE"],"uri":["http://zotero.org/users/local/JiswOD7j/items/Z55A3JIE"],"itemData":{"id":333,"type":"article-journal","abstract":"Purpose: To investigate how intracellular metabolites diffusion measured in vivo up to very high q/b in the mouse brain can be explained in terms of simple geometries.\nMethods: 10 mice were scanned using our new STE-LASER sequence, at 11.7 Tesla (T), up to qmax ¼ 1 mmÀ1 at diffusion time td ¼ 63.2 ms, corresponding to bmax ¼ 60 ms/mm2. We model cell fibers as randomly oriented cylinders, with radius a and intracellular diffusivity Dintracyl, and fit experimental data as a function of q to estimate Dintracyl and a.\nResults: Randomly oriented cylinders account well for measured attenuation, giving fiber radii and Dintracyl in the expected ranges (0.5–1.5 mm and 0.30–0.45 mm2/ms, respectively). The only exception is N-acetyl-aspartate (NAA) (extracted a$0), which we show to be compatible with a small fraction of the NAA pool being confined in highly restricted compartments (with short T2).\nConclusion: The non-monoexponential signal attenuation of intracellular metabolites in the mouse brain can be described by diffusion in long and thin cylinders, yielding realistic Dintra and fiber diameters. However, this simple model may require small “corrections” for NAA, in the form of a small fraction of the NAA signal originating from a highly restricted compartment. Magn Reson Med 77:343–350, 2017. VC 2016 International Society for Magnetic Resonance in Medicine.","container-title":"Magnetic Resonance in Medicine","DOI":"10.1002/mrm.26548","ISSN":"07403194","issue":"1","language":"en","page":"343-350","source":"Crossref","title":"Modeling diffusion of intracellular metabolites in the mouse brain up to very high diffusion-weighting: Diffusion in long fibers (almost) accounts for non-monoexponential attenuation","title-short":"Modeling diffusion of intracellular metabolites in the mouse brain up to very high diffusion-weighting","volume":"77","author":[{"family":"Palombo","given":"Marco"},{"family":"Ligneul","given":"Clemence"},{"family":"Valette","given":"Julien"}],"issued":{"date-parts":[["2017",1]]}},"label":"page"},{"id":336,"uris":["http://zotero.org/users/local/JiswOD7j/items/HQVCW6DC"],"uri":["http://zotero.org/users/local/JiswOD7j/items/HQVCW6DC"],"itemData":{"id":336,"type":"article-journal","container-title":"Proceedings of the National Academy of Sciences","DOI":"10.1073/pnas.1504327113","ISSN":"0027-8424, 1091-6490","issue":"24","language":"en","page":"6671-6676","source":"Crossref","title":"New paradigm to assess brain cell morphology by diffusion-weighted MR spectroscopy in vivo","volume":"113","author":[{"family":"Palombo","given":"Marco"},{"family":"Ligneul","given":"Clémence"},{"family":"Najac","given":"Chloé"},{"family":"Le Douce","given":"Juliette"},{"family":"Flament","given":"Julien"},{"family":"Escartin","given":"Carole"},{"family":"Hantraye","given":"Philippe"},{"family":"Brouillet","given":"Emmanuel"},{"family":"Bonvento","given":"Gilles"},{"family":"Valette","given":"Julien"}],"issued":{"date-parts":[["2016",6,14]]}},"label":"page"},{"id":340,"uris":["http://zotero.org/users/local/JiswOD7j/items/IJMGJ6RA"],"uri":["http://zotero.org/users/local/JiswOD7j/items/IJMGJ6RA"],"itemData":{"id":340,"type":"article-journal","abstract":"In vivo diffusion-weighted MR spectroscopy (DW-MRS) allows measuring diffusion properties of brain metabolites. Unlike water, most metabolites are conﬁned within cells. Hence, their diffusion is expected to purely reﬂect intracellular properties, opening unique possibilities to use metabolites as speciﬁc probes to explore cellular organization and structure. However, interpretation and modeling of DW-MRS, and more generally of intracellular diffusion, remains difﬁcult. In this perspective paper, we will focus on the study of the time-dependency of brain metabolite apparent diffusion coefﬁcient (ADC). We will see how measuring ADC over several orders of magnitude of diffusion times, from less than 1 ms to more than 1 s, allows clarifying our understanding of brain metabolite diffusion, by ﬁrmly establishing that metabolites are neither massively transported by active mechanisms nor massively conﬁned in subcellular compartments or cell bodies. Metabolites appear to be instead diffusing in long ﬁbers typical of neurons and glial cells such as astrocytes. Furthermore, we will evoke modeling of ADC time-dependency to evaluate the effect of, and possibly quantify, some structural parameters at various spatial scales, departing from a simple model of hollow cylinders and introducing additional complexity, either short-ranged (such as dendritic spines) or long-ranged (such as cellular ﬁbers ramiﬁcation). Finally, we will discuss the experimental feasibility and expected beneﬁts of extending the range of diffusion times toward even shorter and longer values.","container-title":"Frontiers in Neuroscience","DOI":"10.3389/fnins.2018.00002","ISSN":"1662-453X","language":"en","source":"Crossref","title":"Brain metabolite diffusion from ultra-short to ultra-long time scales: what do we learn, where should we go?","title-short":"Brain Metabolite Diffusion from Ultra-Short to Ultra-Long Time Scales","URL":"http://journal.frontiersin.org/article/10.3389/fnins.2018.00002/full","volume":"12","author":[{"family":"Valette","given":"Julien"},{"family":"Ligneul","given":"Clémence"},{"family":"Marchadour","given":"Charlotte"},{"family":"Najac","given":"Chloé"},{"family":"Palombo","given":"Marco"}],"accessed":{"date-parts":[["2019",2,22]]},"issued":{"date-parts":[["2018",1,19]]}},"label":"page"}],"schema":"https://github.com/citation-style-language/schema/raw/master/csl-citation.json"} </w:instrText>
      </w:r>
      <w:r w:rsidR="00BA76C6" w:rsidRPr="00245623">
        <w:rPr>
          <w:lang w:val="en-US"/>
        </w:rPr>
        <w:fldChar w:fldCharType="separate"/>
      </w:r>
      <w:r w:rsidR="00AC7306" w:rsidRPr="00245623">
        <w:rPr>
          <w:vertAlign w:val="superscript"/>
          <w:lang w:val="en-US"/>
        </w:rPr>
        <w:t>26,34–37</w:t>
      </w:r>
      <w:r w:rsidR="00BA76C6" w:rsidRPr="00245623">
        <w:rPr>
          <w:lang w:val="en-US"/>
        </w:rPr>
        <w:fldChar w:fldCharType="end"/>
      </w:r>
      <w:r w:rsidR="001F6FEB" w:rsidRPr="00245623">
        <w:rPr>
          <w:lang w:val="en-US"/>
        </w:rPr>
        <w:t>.</w:t>
      </w:r>
      <w:r w:rsidR="0066730C" w:rsidRPr="00245623">
        <w:rPr>
          <w:lang w:val="en-US"/>
        </w:rPr>
        <w:t xml:space="preserve"> T</w:t>
      </w:r>
      <w:r w:rsidR="00F03394" w:rsidRPr="00245623">
        <w:rPr>
          <w:lang w:val="en-US"/>
        </w:rPr>
        <w:t>hus</w:t>
      </w:r>
      <w:r w:rsidR="0066730C" w:rsidRPr="00245623">
        <w:rPr>
          <w:lang w:val="en-US"/>
        </w:rPr>
        <w:t>,</w:t>
      </w:r>
      <w:r w:rsidR="00631809" w:rsidRPr="00245623">
        <w:rPr>
          <w:lang w:val="en-US"/>
        </w:rPr>
        <w:t xml:space="preserve"> the</w:t>
      </w:r>
      <w:r w:rsidR="0066730C" w:rsidRPr="00245623">
        <w:rPr>
          <w:lang w:val="en-US"/>
        </w:rPr>
        <w:t xml:space="preserve"> metabolite displacement probed by DW-MRS </w:t>
      </w:r>
      <w:r w:rsidR="00F03394" w:rsidRPr="00245623">
        <w:rPr>
          <w:lang w:val="en-US"/>
        </w:rPr>
        <w:t>mostly reflects</w:t>
      </w:r>
      <w:r w:rsidR="0066730C" w:rsidRPr="00245623">
        <w:rPr>
          <w:lang w:val="en-US"/>
        </w:rPr>
        <w:t xml:space="preserve"> the microstructure of the cells in which </w:t>
      </w:r>
      <w:r w:rsidR="00631809" w:rsidRPr="00245623">
        <w:rPr>
          <w:lang w:val="en-US"/>
        </w:rPr>
        <w:t>metabolites</w:t>
      </w:r>
      <w:r w:rsidR="0066730C" w:rsidRPr="00245623">
        <w:rPr>
          <w:lang w:val="en-US"/>
        </w:rPr>
        <w:t xml:space="preserve"> are compartmentalized</w:t>
      </w:r>
      <w:r w:rsidR="00F03394" w:rsidRPr="00245623">
        <w:rPr>
          <w:lang w:val="en-US"/>
        </w:rPr>
        <w:t>.</w:t>
      </w:r>
      <w:r w:rsidR="0066730C" w:rsidRPr="00245623">
        <w:rPr>
          <w:lang w:val="en-US"/>
        </w:rPr>
        <w:t xml:space="preserve"> Under our experimental conditions, </w:t>
      </w:r>
      <w:r w:rsidR="00F556A2" w:rsidRPr="00245623">
        <w:rPr>
          <w:lang w:val="en-US"/>
        </w:rPr>
        <w:t>(</w:t>
      </w:r>
      <w:r w:rsidR="0066730C" w:rsidRPr="00245623">
        <w:rPr>
          <w:lang w:val="en-US"/>
        </w:rPr>
        <w:t>e.g.</w:t>
      </w:r>
      <w:r w:rsidR="00D73BEA" w:rsidRPr="00245623">
        <w:rPr>
          <w:lang w:val="en-US"/>
        </w:rPr>
        <w:t xml:space="preserve"> maximum </w:t>
      </w:r>
      <w:r w:rsidR="00D73BEA" w:rsidRPr="00245623">
        <w:rPr>
          <w:i/>
          <w:lang w:val="en-US"/>
        </w:rPr>
        <w:t>b</w:t>
      </w:r>
      <w:r w:rsidR="00D73BEA" w:rsidRPr="00245623">
        <w:rPr>
          <w:lang w:val="en-US"/>
        </w:rPr>
        <w:t xml:space="preserve">-value = 6 </w:t>
      </w:r>
      <w:r w:rsidR="00BE618C" w:rsidRPr="00245623">
        <w:rPr>
          <w:color w:val="000000"/>
          <w:lang w:val="en-US"/>
        </w:rPr>
        <w:t>ms/</w:t>
      </w:r>
      <w:r w:rsidR="00BE618C" w:rsidRPr="00245623">
        <w:rPr>
          <w:color w:val="000000"/>
          <w:lang w:val="en-US"/>
        </w:rPr>
        <w:sym w:font="Symbol" w:char="F06D"/>
      </w:r>
      <w:r w:rsidR="00BE618C" w:rsidRPr="00245623">
        <w:rPr>
          <w:color w:val="000000"/>
          <w:lang w:val="en-US"/>
        </w:rPr>
        <w:t>m</w:t>
      </w:r>
      <w:r w:rsidR="00BE618C" w:rsidRPr="00245623">
        <w:rPr>
          <w:color w:val="000000"/>
          <w:vertAlign w:val="superscript"/>
          <w:lang w:val="en-US"/>
        </w:rPr>
        <w:t>2</w:t>
      </w:r>
      <w:r w:rsidR="00F556A2" w:rsidRPr="00245623">
        <w:rPr>
          <w:lang w:val="en-US"/>
        </w:rPr>
        <w:t>,</w:t>
      </w:r>
      <w:r w:rsidR="00D73BEA" w:rsidRPr="00245623">
        <w:rPr>
          <w:lang w:val="en-US"/>
        </w:rPr>
        <w:t xml:space="preserve"> t</w:t>
      </w:r>
      <w:r w:rsidR="00D73BEA" w:rsidRPr="00245623">
        <w:rPr>
          <w:vertAlign w:val="subscript"/>
          <w:lang w:val="en-US"/>
        </w:rPr>
        <w:t>d</w:t>
      </w:r>
      <w:r w:rsidR="00D73BEA" w:rsidRPr="00245623">
        <w:rPr>
          <w:lang w:val="en-US"/>
        </w:rPr>
        <w:t xml:space="preserve"> = 64 ms</w:t>
      </w:r>
      <w:r w:rsidR="00F556A2" w:rsidRPr="00245623">
        <w:rPr>
          <w:lang w:val="en-US"/>
        </w:rPr>
        <w:t>)</w:t>
      </w:r>
      <w:r w:rsidR="00D73BEA" w:rsidRPr="00245623">
        <w:rPr>
          <w:lang w:val="en-US"/>
        </w:rPr>
        <w:t xml:space="preserve">, </w:t>
      </w:r>
      <w:r w:rsidR="00E731E2" w:rsidRPr="00245623">
        <w:rPr>
          <w:lang w:val="en-US"/>
        </w:rPr>
        <w:t xml:space="preserve">it </w:t>
      </w:r>
      <w:r w:rsidR="00BE53A4" w:rsidRPr="00245623">
        <w:rPr>
          <w:lang w:val="en-US"/>
        </w:rPr>
        <w:t>was</w:t>
      </w:r>
      <w:r w:rsidR="00E731E2" w:rsidRPr="00245623">
        <w:rPr>
          <w:lang w:val="en-US"/>
        </w:rPr>
        <w:t xml:space="preserve"> not possible to extract </w:t>
      </w:r>
      <w:r w:rsidR="00F556A2" w:rsidRPr="00245623">
        <w:rPr>
          <w:lang w:val="en-US"/>
        </w:rPr>
        <w:t xml:space="preserve">from the DW-MRS data </w:t>
      </w:r>
      <w:r w:rsidR="001039C0" w:rsidRPr="00245623">
        <w:rPr>
          <w:lang w:val="en-US"/>
        </w:rPr>
        <w:t xml:space="preserve">quantitative </w:t>
      </w:r>
      <w:r w:rsidR="00E731E2" w:rsidRPr="00245623">
        <w:rPr>
          <w:lang w:val="en-US"/>
        </w:rPr>
        <w:t xml:space="preserve">morphological parameters such as </w:t>
      </w:r>
      <w:r w:rsidR="0043100A" w:rsidRPr="00245623">
        <w:rPr>
          <w:lang w:val="en-US"/>
        </w:rPr>
        <w:t xml:space="preserve">soma radii, </w:t>
      </w:r>
      <w:r w:rsidR="00E731E2" w:rsidRPr="00245623">
        <w:rPr>
          <w:lang w:val="en-US"/>
        </w:rPr>
        <w:t xml:space="preserve">fiber diameters and length, </w:t>
      </w:r>
      <w:r w:rsidR="00F556A2" w:rsidRPr="00245623">
        <w:rPr>
          <w:lang w:val="en-US"/>
        </w:rPr>
        <w:t>however</w:t>
      </w:r>
      <w:r w:rsidR="00E731E2" w:rsidRPr="00245623">
        <w:rPr>
          <w:lang w:val="en-US"/>
        </w:rPr>
        <w:t xml:space="preserve">, variations in metabolite diffusion </w:t>
      </w:r>
      <w:r w:rsidR="00F556A2" w:rsidRPr="00245623">
        <w:rPr>
          <w:lang w:val="en-US"/>
        </w:rPr>
        <w:t>allow</w:t>
      </w:r>
      <w:r w:rsidR="00BE53A4" w:rsidRPr="00245623">
        <w:rPr>
          <w:lang w:val="en-US"/>
        </w:rPr>
        <w:t>ed</w:t>
      </w:r>
      <w:r w:rsidR="00F556A2" w:rsidRPr="00245623">
        <w:rPr>
          <w:lang w:val="en-US"/>
        </w:rPr>
        <w:t xml:space="preserve"> to capture qualitative </w:t>
      </w:r>
      <w:r w:rsidR="004C2D0A" w:rsidRPr="00245623">
        <w:rPr>
          <w:lang w:val="en-US"/>
        </w:rPr>
        <w:t>alterations</w:t>
      </w:r>
      <w:r w:rsidR="00E731E2" w:rsidRPr="00245623">
        <w:rPr>
          <w:lang w:val="en-US"/>
        </w:rPr>
        <w:t xml:space="preserve"> in cell size.</w:t>
      </w:r>
      <w:r w:rsidR="00B23637" w:rsidRPr="00245623">
        <w:rPr>
          <w:lang w:val="en-US"/>
        </w:rPr>
        <w:t xml:space="preserve"> </w:t>
      </w:r>
    </w:p>
    <w:p w14:paraId="6D086DBE" w14:textId="161CD644" w:rsidR="002D266F" w:rsidRPr="00245623" w:rsidRDefault="00D566BF" w:rsidP="00716474">
      <w:pPr>
        <w:autoSpaceDE w:val="0"/>
        <w:autoSpaceDN w:val="0"/>
        <w:adjustRightInd w:val="0"/>
        <w:spacing w:line="480" w:lineRule="auto"/>
        <w:jc w:val="both"/>
        <w:rPr>
          <w:rFonts w:eastAsia="WenQuanYi Micro Hei"/>
          <w:color w:val="000000"/>
          <w:lang w:val="en-US" w:eastAsia="zh-CN"/>
        </w:rPr>
      </w:pPr>
      <w:r w:rsidRPr="00245623">
        <w:rPr>
          <w:lang w:val="en-US"/>
        </w:rPr>
        <w:t xml:space="preserve">Our in vivo findings were corroborated by IHC </w:t>
      </w:r>
      <w:r w:rsidR="00953B8A" w:rsidRPr="00245623">
        <w:rPr>
          <w:lang w:val="en-US"/>
        </w:rPr>
        <w:t>data</w:t>
      </w:r>
      <w:r w:rsidRPr="00245623">
        <w:rPr>
          <w:lang w:val="en-US"/>
        </w:rPr>
        <w:t>, revealing significant</w:t>
      </w:r>
      <w:r w:rsidR="008B2975" w:rsidRPr="00245623">
        <w:rPr>
          <w:lang w:val="en-US"/>
        </w:rPr>
        <w:t>ly</w:t>
      </w:r>
      <w:r w:rsidRPr="00245623">
        <w:rPr>
          <w:lang w:val="en-US"/>
        </w:rPr>
        <w:t xml:space="preserve"> </w:t>
      </w:r>
      <w:r w:rsidR="00780D8A" w:rsidRPr="00245623">
        <w:rPr>
          <w:lang w:val="en-US"/>
        </w:rPr>
        <w:t>higher</w:t>
      </w:r>
      <w:r w:rsidRPr="00245623">
        <w:rPr>
          <w:lang w:val="en-US"/>
        </w:rPr>
        <w:t xml:space="preserve"> </w:t>
      </w:r>
      <w:r w:rsidR="00B25B7F" w:rsidRPr="00245623">
        <w:rPr>
          <w:lang w:val="en-US"/>
        </w:rPr>
        <w:t xml:space="preserve">AAF </w:t>
      </w:r>
      <w:r w:rsidRPr="00245623">
        <w:rPr>
          <w:lang w:val="en-US"/>
        </w:rPr>
        <w:t xml:space="preserve">and </w:t>
      </w:r>
      <w:r w:rsidR="00B25B7F" w:rsidRPr="00245623">
        <w:rPr>
          <w:lang w:val="en-US"/>
        </w:rPr>
        <w:t xml:space="preserve">MAF </w:t>
      </w:r>
      <w:r w:rsidRPr="00245623">
        <w:rPr>
          <w:lang w:val="en-US"/>
        </w:rPr>
        <w:t xml:space="preserve">in the CPZ vs. the </w:t>
      </w:r>
      <w:r w:rsidR="002316DE" w:rsidRPr="00245623">
        <w:rPr>
          <w:lang w:val="en-US"/>
        </w:rPr>
        <w:t>control</w:t>
      </w:r>
      <w:r w:rsidRPr="00245623">
        <w:rPr>
          <w:lang w:val="en-US"/>
        </w:rPr>
        <w:t xml:space="preserve"> m</w:t>
      </w:r>
      <w:r w:rsidR="008A3D1A" w:rsidRPr="00245623">
        <w:rPr>
          <w:lang w:val="en-US"/>
        </w:rPr>
        <w:t>ouse</w:t>
      </w:r>
      <w:r w:rsidRPr="00245623">
        <w:rPr>
          <w:lang w:val="en-US"/>
        </w:rPr>
        <w:t xml:space="preserve"> group. </w:t>
      </w:r>
      <w:r w:rsidR="00953B8A" w:rsidRPr="00245623">
        <w:rPr>
          <w:lang w:val="en-US"/>
        </w:rPr>
        <w:t xml:space="preserve">In addition, </w:t>
      </w:r>
      <w:proofErr w:type="spellStart"/>
      <w:r w:rsidR="00BB548C" w:rsidRPr="00245623">
        <w:rPr>
          <w:lang w:val="en-US"/>
        </w:rPr>
        <w:t>mIns</w:t>
      </w:r>
      <w:proofErr w:type="spellEnd"/>
      <w:r w:rsidR="00BB548C" w:rsidRPr="00245623">
        <w:rPr>
          <w:lang w:val="en-US"/>
        </w:rPr>
        <w:t xml:space="preserve"> ADC </w:t>
      </w:r>
      <w:r w:rsidR="00E47D8A" w:rsidRPr="00245623">
        <w:rPr>
          <w:lang w:val="en-US"/>
        </w:rPr>
        <w:t xml:space="preserve">showed </w:t>
      </w:r>
      <w:r w:rsidR="00780D8A" w:rsidRPr="00245623">
        <w:rPr>
          <w:lang w:val="en-US"/>
        </w:rPr>
        <w:t xml:space="preserve">a </w:t>
      </w:r>
      <w:r w:rsidR="00E47D8A" w:rsidRPr="00245623">
        <w:rPr>
          <w:lang w:val="en-US"/>
        </w:rPr>
        <w:t xml:space="preserve">significant </w:t>
      </w:r>
      <w:r w:rsidR="00814D31" w:rsidRPr="00245623">
        <w:rPr>
          <w:lang w:val="en-US"/>
        </w:rPr>
        <w:t xml:space="preserve">positive </w:t>
      </w:r>
      <w:r w:rsidR="00E47D8A" w:rsidRPr="00245623">
        <w:rPr>
          <w:lang w:val="en-US"/>
        </w:rPr>
        <w:t xml:space="preserve">correlation </w:t>
      </w:r>
      <w:r w:rsidR="00E47D8A" w:rsidRPr="00245623">
        <w:rPr>
          <w:lang w:val="en-US"/>
        </w:rPr>
        <w:lastRenderedPageBreak/>
        <w:t>with both AAF and MAF histological markers of glial cells, when the two m</w:t>
      </w:r>
      <w:r w:rsidR="0025460C" w:rsidRPr="00245623">
        <w:rPr>
          <w:lang w:val="en-US"/>
        </w:rPr>
        <w:t>ouse</w:t>
      </w:r>
      <w:r w:rsidR="00E47D8A" w:rsidRPr="00245623">
        <w:rPr>
          <w:lang w:val="en-US"/>
        </w:rPr>
        <w:t xml:space="preserve"> groups were p</w:t>
      </w:r>
      <w:r w:rsidR="0025460C" w:rsidRPr="00245623">
        <w:rPr>
          <w:lang w:val="en-US"/>
        </w:rPr>
        <w:t>ool</w:t>
      </w:r>
      <w:r w:rsidR="00E47D8A" w:rsidRPr="00245623">
        <w:rPr>
          <w:lang w:val="en-US"/>
        </w:rPr>
        <w:t>ed together</w:t>
      </w:r>
      <w:r w:rsidR="00F53653" w:rsidRPr="00245623">
        <w:rPr>
          <w:lang w:val="en-US"/>
        </w:rPr>
        <w:t xml:space="preserve">. </w:t>
      </w:r>
      <w:r w:rsidR="007D2214" w:rsidRPr="00245623">
        <w:rPr>
          <w:lang w:val="en-US"/>
        </w:rPr>
        <w:t>W</w:t>
      </w:r>
      <w:r w:rsidR="00E47D8A" w:rsidRPr="00245623">
        <w:rPr>
          <w:lang w:val="en-US"/>
        </w:rPr>
        <w:t>hen considering the CPZ mouse group</w:t>
      </w:r>
      <w:r w:rsidR="007D2214" w:rsidRPr="00245623">
        <w:rPr>
          <w:lang w:val="en-US"/>
        </w:rPr>
        <w:t xml:space="preserve"> alone</w:t>
      </w:r>
      <w:r w:rsidR="00E47D8A" w:rsidRPr="00245623">
        <w:rPr>
          <w:lang w:val="en-US"/>
        </w:rPr>
        <w:t>,</w:t>
      </w:r>
      <w:r w:rsidR="00602F85" w:rsidRPr="00245623">
        <w:rPr>
          <w:lang w:val="en-US"/>
        </w:rPr>
        <w:t xml:space="preserve"> </w:t>
      </w:r>
      <w:proofErr w:type="spellStart"/>
      <w:r w:rsidR="00E47D8A" w:rsidRPr="00245623">
        <w:rPr>
          <w:lang w:val="en-US"/>
        </w:rPr>
        <w:t>mIns</w:t>
      </w:r>
      <w:proofErr w:type="spellEnd"/>
      <w:r w:rsidR="00E47D8A" w:rsidRPr="00245623">
        <w:rPr>
          <w:lang w:val="en-US"/>
        </w:rPr>
        <w:t xml:space="preserve"> </w:t>
      </w:r>
      <w:r w:rsidR="007D2214" w:rsidRPr="00245623">
        <w:rPr>
          <w:lang w:val="en-US"/>
        </w:rPr>
        <w:t xml:space="preserve">ADC was still significantly correlated with AAF, despite the small number of experimental points. </w:t>
      </w:r>
      <w:r w:rsidR="00E47D8A" w:rsidRPr="00245623">
        <w:rPr>
          <w:lang w:val="en-US"/>
        </w:rPr>
        <w:t xml:space="preserve">This result </w:t>
      </w:r>
      <w:r w:rsidR="00822079" w:rsidRPr="00245623">
        <w:rPr>
          <w:lang w:val="en-US"/>
        </w:rPr>
        <w:t>was</w:t>
      </w:r>
      <w:r w:rsidR="00E47D8A" w:rsidRPr="00245623">
        <w:rPr>
          <w:lang w:val="en-US"/>
        </w:rPr>
        <w:t xml:space="preserve"> in line with a recent study suggesting </w:t>
      </w:r>
      <w:proofErr w:type="spellStart"/>
      <w:r w:rsidR="00E47D8A" w:rsidRPr="00245623">
        <w:rPr>
          <w:lang w:val="en-US"/>
        </w:rPr>
        <w:t>mIns</w:t>
      </w:r>
      <w:proofErr w:type="spellEnd"/>
      <w:r w:rsidR="00E47D8A" w:rsidRPr="00245623">
        <w:rPr>
          <w:lang w:val="en-US"/>
        </w:rPr>
        <w:t xml:space="preserve"> </w:t>
      </w:r>
      <w:r w:rsidR="005D6683" w:rsidRPr="00245623">
        <w:rPr>
          <w:lang w:val="en-US"/>
        </w:rPr>
        <w:t xml:space="preserve">diffusion </w:t>
      </w:r>
      <w:r w:rsidR="00E47D8A" w:rsidRPr="00245623">
        <w:rPr>
          <w:lang w:val="en-US"/>
        </w:rPr>
        <w:t xml:space="preserve">as a specific intra-cellular marker of astrocytic hypertrophy </w:t>
      </w:r>
      <w:r w:rsidR="00953B8A" w:rsidRPr="00245623">
        <w:rPr>
          <w:lang w:val="en-US"/>
        </w:rPr>
        <w:t xml:space="preserve">in a </w:t>
      </w:r>
      <w:r w:rsidR="007D68F9" w:rsidRPr="00245623">
        <w:rPr>
          <w:rFonts w:eastAsia="WenQuanYi Micro Hei"/>
          <w:color w:val="000000"/>
          <w:lang w:val="en-US" w:eastAsia="zh-CN"/>
        </w:rPr>
        <w:t>mouse model of “pure” astrocyte reactivity induced by the</w:t>
      </w:r>
      <w:r w:rsidR="00953B8A" w:rsidRPr="00245623">
        <w:rPr>
          <w:rFonts w:eastAsia="WenQuanYi Micro Hei"/>
          <w:color w:val="000000"/>
          <w:lang w:val="en-US" w:eastAsia="zh-CN"/>
        </w:rPr>
        <w:t xml:space="preserve"> </w:t>
      </w:r>
      <w:r w:rsidR="007D68F9" w:rsidRPr="00245623">
        <w:rPr>
          <w:rFonts w:eastAsia="WenQuanYi Micro Hei"/>
          <w:color w:val="000000"/>
          <w:lang w:val="en-US" w:eastAsia="zh-CN"/>
        </w:rPr>
        <w:t>cytokine ciliary neurotrophic factor (CNTF)</w:t>
      </w:r>
      <w:r w:rsidR="00A669D0" w:rsidRPr="00245623">
        <w:rPr>
          <w:rFonts w:eastAsia="WenQuanYi Micro Hei"/>
          <w:color w:val="000000"/>
          <w:lang w:val="en-US" w:eastAsia="zh-CN"/>
        </w:rPr>
        <w:t xml:space="preserve"> </w:t>
      </w:r>
      <w:r w:rsidR="00BA76C6" w:rsidRPr="00245623">
        <w:rPr>
          <w:rFonts w:eastAsia="WenQuanYi Micro Hei"/>
          <w:color w:val="000000"/>
          <w:lang w:val="en-US" w:eastAsia="zh-CN"/>
        </w:rPr>
        <w:fldChar w:fldCharType="begin"/>
      </w:r>
      <w:r w:rsidR="00AC7306" w:rsidRPr="00245623">
        <w:rPr>
          <w:rFonts w:eastAsia="WenQuanYi Micro Hei"/>
          <w:color w:val="000000"/>
          <w:lang w:val="en-US" w:eastAsia="zh-CN"/>
        </w:rPr>
        <w:instrText xml:space="preserve"> ADDIN ZOTERO_ITEM CSL_CITATION {"citationID":"zGK4Odwg","properties":{"formattedCitation":"\\super 19\\nosupersub{}","plainCitation":"19","noteIndex":0},"citationItems":[{"id":399,"uris":["http://zotero.org/users/local/JiswOD7j/items/4Q7K2TN7"],"uri":["http://zotero.org/users/local/JiswOD7j/items/4Q7K2TN7"],"itemData":{"id":399,"type":"article-journal","abstract":"Reactive astrocytes exhibit hypertrophic morphology and altered metabolism. Deciphering astrocytic status would be of great importance to understand their role and dysregulation in pathologies, but most analytical methods remain highly invasive or destructive. The diffusion of brain metabolites, as non-invasively measured using diffusion-weighted magnetic resonance spectroscopy (DW-MRS) in vivo, depends on the structure of their micro-environment. Here we perform advanced DW-MRS in a mouse model of reactive astrocytes to determine how cellular compartments conﬁning metabolite diffusion are changing. This reveals myo-inositol as a speciﬁc intraastrocytic marker whose diffusion closely reﬂects astrocytic morphology, enabling non-invasive detection of astrocyte hypertrophy (subsequently conﬁrmed by confocal microscopy ex vivo). Furthermore, we measure massive variations of lactate diffusion properties, suggesting that intracellular lactate is predominantly astrocytic under control conditions, but predominantly neuronal in case of astrocyte reactivity. This indicates massive remodeling of lactate metabolism, as lactate compartmentation is tightly linked to the astrocyte-to-neuron lactate shuttle mechanism.","container-title":"NeuroImage","DOI":"10.1016/j.neuroimage.2019.02.046","ISSN":"10538119","language":"en","page":"457-469","source":"Crossref","title":"Diffusion-weighted magnetic resonance spectroscopy enables cell-specific monitoring of astrocyte reactivity in vivo","volume":"191","author":[{"family":"Ligneul","given":"Clémence"},{"family":"Palombo","given":"Marco"},{"family":"Hernández-Garzón","given":"Edwin"},{"family":"Carrillo-de Sauvage","given":"María-Angeles"},{"family":"Flament","given":"Julien"},{"family":"Hantraye","given":"Philippe"},{"family":"Brouillet","given":"Emmanuel"},{"family":"Bonvento","given":"Gilles"},{"family":"Escartin","given":"Carole"},{"family":"Valette","given":"Julien"}],"issued":{"date-parts":[["2019",5]]}}}],"schema":"https://github.com/citation-style-language/schema/raw/master/csl-citation.json"} </w:instrText>
      </w:r>
      <w:r w:rsidR="00BA76C6" w:rsidRPr="00245623">
        <w:rPr>
          <w:rFonts w:eastAsia="WenQuanYi Micro Hei"/>
          <w:color w:val="000000"/>
          <w:lang w:val="en-US" w:eastAsia="zh-CN"/>
        </w:rPr>
        <w:fldChar w:fldCharType="separate"/>
      </w:r>
      <w:r w:rsidR="00AC7306" w:rsidRPr="00245623">
        <w:rPr>
          <w:color w:val="000000"/>
          <w:vertAlign w:val="superscript"/>
          <w:lang w:val="en-US"/>
        </w:rPr>
        <w:t>19</w:t>
      </w:r>
      <w:r w:rsidR="00BA76C6" w:rsidRPr="00245623">
        <w:rPr>
          <w:rFonts w:eastAsia="WenQuanYi Micro Hei"/>
          <w:color w:val="000000"/>
          <w:lang w:val="en-US" w:eastAsia="zh-CN"/>
        </w:rPr>
        <w:fldChar w:fldCharType="end"/>
      </w:r>
      <w:r w:rsidR="00A669D0" w:rsidRPr="00245623">
        <w:rPr>
          <w:rFonts w:eastAsia="WenQuanYi Micro Hei"/>
          <w:color w:val="000000"/>
          <w:lang w:val="en-US" w:eastAsia="zh-CN"/>
        </w:rPr>
        <w:t>.</w:t>
      </w:r>
      <w:r w:rsidR="007D68F9" w:rsidRPr="00245623">
        <w:rPr>
          <w:rFonts w:eastAsia="WenQuanYi Micro Hei"/>
          <w:color w:val="000000"/>
          <w:lang w:val="en-US" w:eastAsia="zh-CN"/>
        </w:rPr>
        <w:t xml:space="preserve"> </w:t>
      </w:r>
      <w:r w:rsidR="002D266F" w:rsidRPr="00245623">
        <w:rPr>
          <w:lang w:val="en-US"/>
        </w:rPr>
        <w:t xml:space="preserve">Because in our study AAF and MAF were also significantly correlated (Figure </w:t>
      </w:r>
      <w:r w:rsidR="00F536C7" w:rsidRPr="00245623">
        <w:rPr>
          <w:lang w:val="en-US"/>
        </w:rPr>
        <w:t>7</w:t>
      </w:r>
      <w:r w:rsidR="002D266F" w:rsidRPr="00245623">
        <w:rPr>
          <w:lang w:val="en-US"/>
        </w:rPr>
        <w:t xml:space="preserve">), the significant correlation between </w:t>
      </w:r>
      <w:proofErr w:type="spellStart"/>
      <w:r w:rsidR="002D266F" w:rsidRPr="00245623">
        <w:rPr>
          <w:lang w:val="en-US"/>
        </w:rPr>
        <w:t>mIns</w:t>
      </w:r>
      <w:proofErr w:type="spellEnd"/>
      <w:r w:rsidR="002D266F" w:rsidRPr="00245623">
        <w:rPr>
          <w:lang w:val="en-US"/>
        </w:rPr>
        <w:t xml:space="preserve"> ADC and MAF </w:t>
      </w:r>
      <w:r w:rsidR="00022EBB" w:rsidRPr="00245623">
        <w:rPr>
          <w:lang w:val="en-US"/>
        </w:rPr>
        <w:t>could reflect the strong interplay between astrocytic and microglial reactivity, rather th</w:t>
      </w:r>
      <w:r w:rsidR="00434FD6" w:rsidRPr="00245623">
        <w:rPr>
          <w:lang w:val="en-US"/>
        </w:rPr>
        <w:t>a</w:t>
      </w:r>
      <w:r w:rsidR="00022EBB" w:rsidRPr="00245623">
        <w:rPr>
          <w:lang w:val="en-US"/>
        </w:rPr>
        <w:t xml:space="preserve">n a direct link between </w:t>
      </w:r>
      <w:proofErr w:type="spellStart"/>
      <w:r w:rsidR="00022EBB" w:rsidRPr="00245623">
        <w:rPr>
          <w:lang w:val="en-US"/>
        </w:rPr>
        <w:t>mIns</w:t>
      </w:r>
      <w:proofErr w:type="spellEnd"/>
      <w:r w:rsidR="00022EBB" w:rsidRPr="00245623">
        <w:rPr>
          <w:lang w:val="en-US"/>
        </w:rPr>
        <w:t xml:space="preserve"> diffusivity and microglia activation</w:t>
      </w:r>
      <w:r w:rsidR="002D266F" w:rsidRPr="00245623">
        <w:rPr>
          <w:lang w:val="en-US"/>
        </w:rPr>
        <w:t>.</w:t>
      </w:r>
    </w:p>
    <w:p w14:paraId="51A4DD37" w14:textId="6887929B" w:rsidR="00D566BF" w:rsidRPr="00245623" w:rsidRDefault="00A669D0" w:rsidP="00716474">
      <w:pPr>
        <w:autoSpaceDE w:val="0"/>
        <w:autoSpaceDN w:val="0"/>
        <w:adjustRightInd w:val="0"/>
        <w:spacing w:line="480" w:lineRule="auto"/>
        <w:jc w:val="both"/>
        <w:rPr>
          <w:rFonts w:eastAsia="WenQuanYi Micro Hei"/>
          <w:color w:val="000000"/>
          <w:lang w:val="en-US" w:eastAsia="zh-CN"/>
        </w:rPr>
      </w:pPr>
      <w:r w:rsidRPr="00245623">
        <w:rPr>
          <w:rFonts w:eastAsia="WenQuanYi Micro Hei"/>
          <w:color w:val="000000"/>
          <w:lang w:val="en-US" w:eastAsia="zh-CN"/>
        </w:rPr>
        <w:t xml:space="preserve">In the CNTF model, where </w:t>
      </w:r>
      <w:r w:rsidR="00814D31" w:rsidRPr="00245623">
        <w:rPr>
          <w:rFonts w:eastAsia="WenQuanYi Micro Hei"/>
          <w:color w:val="000000"/>
          <w:lang w:val="en-US" w:eastAsia="zh-CN"/>
        </w:rPr>
        <w:t xml:space="preserve">the presence of </w:t>
      </w:r>
      <w:r w:rsidR="007D68F9" w:rsidRPr="00245623">
        <w:rPr>
          <w:rFonts w:eastAsia="WenQuanYi Micro Hei"/>
          <w:color w:val="000000"/>
          <w:lang w:val="en-US" w:eastAsia="zh-CN"/>
        </w:rPr>
        <w:t>hypertrophic</w:t>
      </w:r>
      <w:r w:rsidRPr="00245623">
        <w:rPr>
          <w:rFonts w:eastAsia="WenQuanYi Micro Hei"/>
          <w:color w:val="000000"/>
          <w:lang w:val="en-US" w:eastAsia="zh-CN"/>
        </w:rPr>
        <w:t xml:space="preserve"> astrocytes </w:t>
      </w:r>
      <w:r w:rsidR="00814D31" w:rsidRPr="00245623">
        <w:rPr>
          <w:rFonts w:eastAsia="WenQuanYi Micro Hei"/>
          <w:color w:val="000000"/>
          <w:lang w:val="en-US" w:eastAsia="zh-CN"/>
        </w:rPr>
        <w:t>is</w:t>
      </w:r>
      <w:r w:rsidRPr="00245623">
        <w:rPr>
          <w:rFonts w:eastAsia="WenQuanYi Micro Hei"/>
          <w:color w:val="000000"/>
          <w:lang w:val="en-US" w:eastAsia="zh-CN"/>
        </w:rPr>
        <w:t xml:space="preserve"> </w:t>
      </w:r>
      <w:r w:rsidR="004F103E" w:rsidRPr="00245623">
        <w:rPr>
          <w:rFonts w:eastAsia="WenQuanYi Micro Hei"/>
          <w:color w:val="000000"/>
          <w:lang w:val="en-US" w:eastAsia="zh-CN"/>
        </w:rPr>
        <w:t xml:space="preserve">not </w:t>
      </w:r>
      <w:r w:rsidRPr="00245623">
        <w:rPr>
          <w:rFonts w:eastAsia="WenQuanYi Micro Hei"/>
          <w:color w:val="000000"/>
          <w:lang w:val="en-US" w:eastAsia="zh-CN"/>
        </w:rPr>
        <w:t>associated</w:t>
      </w:r>
      <w:r w:rsidR="004F103E" w:rsidRPr="00245623">
        <w:rPr>
          <w:rFonts w:eastAsia="WenQuanYi Micro Hei"/>
          <w:color w:val="000000"/>
          <w:lang w:val="en-US" w:eastAsia="zh-CN"/>
        </w:rPr>
        <w:t xml:space="preserve"> </w:t>
      </w:r>
      <w:r w:rsidRPr="00245623">
        <w:rPr>
          <w:rFonts w:eastAsia="WenQuanYi Micro Hei"/>
          <w:color w:val="000000"/>
          <w:lang w:val="en-US" w:eastAsia="zh-CN"/>
        </w:rPr>
        <w:t>with</w:t>
      </w:r>
      <w:r w:rsidR="007D68F9" w:rsidRPr="00245623">
        <w:rPr>
          <w:rFonts w:eastAsia="WenQuanYi Micro Hei"/>
          <w:color w:val="000000"/>
          <w:lang w:val="en-US" w:eastAsia="zh-CN"/>
        </w:rPr>
        <w:t xml:space="preserve"> neuronal death or</w:t>
      </w:r>
      <w:r w:rsidRPr="00245623">
        <w:rPr>
          <w:rFonts w:eastAsia="WenQuanYi Micro Hei"/>
          <w:color w:val="000000"/>
          <w:lang w:val="en-US" w:eastAsia="zh-CN"/>
        </w:rPr>
        <w:t xml:space="preserve"> with</w:t>
      </w:r>
      <w:r w:rsidR="007D68F9" w:rsidRPr="00245623">
        <w:rPr>
          <w:rFonts w:eastAsia="WenQuanYi Micro Hei"/>
          <w:color w:val="000000"/>
          <w:lang w:val="en-US" w:eastAsia="zh-CN"/>
        </w:rPr>
        <w:t xml:space="preserve"> microglial activation </w:t>
      </w:r>
      <w:r w:rsidR="00BA76C6" w:rsidRPr="00245623">
        <w:rPr>
          <w:rFonts w:eastAsia="WenQuanYi Micro Hei"/>
          <w:color w:val="000000"/>
          <w:lang w:val="en-US" w:eastAsia="zh-CN"/>
        </w:rPr>
        <w:fldChar w:fldCharType="begin"/>
      </w:r>
      <w:r w:rsidR="00AC7306" w:rsidRPr="00245623">
        <w:rPr>
          <w:rFonts w:eastAsia="WenQuanYi Micro Hei"/>
          <w:color w:val="000000"/>
          <w:lang w:val="en-US" w:eastAsia="zh-CN"/>
        </w:rPr>
        <w:instrText xml:space="preserve"> ADDIN ZOTERO_ITEM CSL_CITATION {"citationID":"uagIJGii","properties":{"formattedCitation":"\\super 38\\nosupersub{}","plainCitation":"38","noteIndex":0},"citationItems":[{"id":605,"uris":["http://zotero.org/users/local/JiswOD7j/items/PGMFMM6Y"],"uri":["http://zotero.org/users/local/JiswOD7j/items/PGMFMM6Y"],"itemData":{"id":605,"type":"article-journal","container-title":"Journal of Neuroscience","DOI":"10.1523/JNEUROSCI.0302-06.2006","ISSN":"0270-6474, 1529-2401","issue":"22","journalAbbreviation":"Journal of Neuroscience","language":"en","page":"5978-5989","source":"DOI.org (Crossref)","title":"Ciliary Neurotrophic Factor Activates Astrocytes, Redistributes Their Glutamate Transporters GLAST and GLT-1 to Raft Microdomains, and Improves Glutamate Handling In Vivo","volume":"26","author":[{"family":"Escartin","given":"C."}],"issued":{"date-parts":[["2006",5,31]]}}}],"schema":"https://github.com/citation-style-language/schema/raw/master/csl-citation.json"} </w:instrText>
      </w:r>
      <w:r w:rsidR="00BA76C6" w:rsidRPr="00245623">
        <w:rPr>
          <w:rFonts w:eastAsia="WenQuanYi Micro Hei"/>
          <w:color w:val="000000"/>
          <w:lang w:val="en-US" w:eastAsia="zh-CN"/>
        </w:rPr>
        <w:fldChar w:fldCharType="separate"/>
      </w:r>
      <w:r w:rsidR="00AC7306" w:rsidRPr="00245623">
        <w:rPr>
          <w:color w:val="000000"/>
          <w:vertAlign w:val="superscript"/>
          <w:lang w:val="en-US"/>
        </w:rPr>
        <w:t>38</w:t>
      </w:r>
      <w:r w:rsidR="00BA76C6" w:rsidRPr="00245623">
        <w:rPr>
          <w:rFonts w:eastAsia="WenQuanYi Micro Hei"/>
          <w:color w:val="000000"/>
          <w:lang w:val="en-US" w:eastAsia="zh-CN"/>
        </w:rPr>
        <w:fldChar w:fldCharType="end"/>
      </w:r>
      <w:r w:rsidRPr="00245623">
        <w:rPr>
          <w:rFonts w:eastAsia="WenQuanYi Micro Hei"/>
          <w:color w:val="000000"/>
          <w:lang w:val="en-US" w:eastAsia="zh-CN"/>
        </w:rPr>
        <w:t xml:space="preserve">, </w:t>
      </w:r>
      <w:proofErr w:type="spellStart"/>
      <w:r w:rsidR="007D68F9" w:rsidRPr="00245623">
        <w:rPr>
          <w:lang w:val="en-US"/>
        </w:rPr>
        <w:t>Ligneul</w:t>
      </w:r>
      <w:proofErr w:type="spellEnd"/>
      <w:r w:rsidR="007D68F9" w:rsidRPr="00245623">
        <w:rPr>
          <w:lang w:val="en-US"/>
        </w:rPr>
        <w:t xml:space="preserve"> et al. </w:t>
      </w:r>
      <w:r w:rsidR="004D6B3C" w:rsidRPr="00245623">
        <w:rPr>
          <w:lang w:val="en-US"/>
        </w:rPr>
        <w:t xml:space="preserve">(2019) </w:t>
      </w:r>
      <w:r w:rsidR="00C9619C" w:rsidRPr="00245623">
        <w:rPr>
          <w:lang w:val="en-US"/>
        </w:rPr>
        <w:t xml:space="preserve">reported elevated </w:t>
      </w:r>
      <w:proofErr w:type="spellStart"/>
      <w:r w:rsidR="00C9619C" w:rsidRPr="00245623">
        <w:rPr>
          <w:lang w:val="en-US"/>
        </w:rPr>
        <w:t>mIns</w:t>
      </w:r>
      <w:proofErr w:type="spellEnd"/>
      <w:r w:rsidR="00C9619C" w:rsidRPr="00245623">
        <w:rPr>
          <w:lang w:val="en-US"/>
        </w:rPr>
        <w:t xml:space="preserve"> diffusion and no</w:t>
      </w:r>
      <w:r w:rsidR="007D68F9" w:rsidRPr="00245623">
        <w:rPr>
          <w:lang w:val="en-US"/>
        </w:rPr>
        <w:t xml:space="preserve"> </w:t>
      </w:r>
      <w:r w:rsidR="00814D31" w:rsidRPr="00245623">
        <w:rPr>
          <w:lang w:val="en-US"/>
        </w:rPr>
        <w:t xml:space="preserve">significant </w:t>
      </w:r>
      <w:r w:rsidR="00B25B7F" w:rsidRPr="00245623">
        <w:rPr>
          <w:lang w:val="en-US"/>
        </w:rPr>
        <w:t>changes in</w:t>
      </w:r>
      <w:r w:rsidR="007D68F9" w:rsidRPr="00245623">
        <w:rPr>
          <w:lang w:val="en-US"/>
        </w:rPr>
        <w:t xml:space="preserve"> </w:t>
      </w:r>
      <w:proofErr w:type="spellStart"/>
      <w:r w:rsidR="007D68F9" w:rsidRPr="00245623">
        <w:rPr>
          <w:lang w:val="en-US"/>
        </w:rPr>
        <w:t>tCho</w:t>
      </w:r>
      <w:proofErr w:type="spellEnd"/>
      <w:r w:rsidR="007D68F9" w:rsidRPr="00245623">
        <w:rPr>
          <w:lang w:val="en-US"/>
        </w:rPr>
        <w:t xml:space="preserve"> diffusivity</w:t>
      </w:r>
      <w:r w:rsidR="00814D31" w:rsidRPr="00245623">
        <w:rPr>
          <w:lang w:val="en-US"/>
        </w:rPr>
        <w:t xml:space="preserve"> compared to control mice</w:t>
      </w:r>
      <w:r w:rsidRPr="00245623">
        <w:rPr>
          <w:lang w:val="en-US"/>
        </w:rPr>
        <w:t xml:space="preserve">. </w:t>
      </w:r>
      <w:r w:rsidR="00814D31" w:rsidRPr="00245623">
        <w:rPr>
          <w:lang w:val="en-US"/>
        </w:rPr>
        <w:t>In view of th</w:t>
      </w:r>
      <w:r w:rsidR="008A7102" w:rsidRPr="00245623">
        <w:rPr>
          <w:lang w:val="en-US"/>
        </w:rPr>
        <w:t>i</w:t>
      </w:r>
      <w:r w:rsidR="00814D31" w:rsidRPr="00245623">
        <w:rPr>
          <w:lang w:val="en-US"/>
        </w:rPr>
        <w:t xml:space="preserve">s </w:t>
      </w:r>
      <w:r w:rsidR="00C9619C" w:rsidRPr="00245623">
        <w:rPr>
          <w:lang w:val="en-US"/>
        </w:rPr>
        <w:t>previous report</w:t>
      </w:r>
      <w:r w:rsidR="00814D31" w:rsidRPr="00245623">
        <w:rPr>
          <w:lang w:val="en-US"/>
        </w:rPr>
        <w:t xml:space="preserve">, </w:t>
      </w:r>
      <w:r w:rsidR="00C9619C" w:rsidRPr="00245623">
        <w:rPr>
          <w:lang w:val="en-US"/>
        </w:rPr>
        <w:t xml:space="preserve">and given our observation of a </w:t>
      </w:r>
      <w:r w:rsidR="00047C49" w:rsidRPr="00245623">
        <w:rPr>
          <w:lang w:val="en-US"/>
        </w:rPr>
        <w:t>trend</w:t>
      </w:r>
      <w:r w:rsidR="00D7791D" w:rsidRPr="00245623">
        <w:rPr>
          <w:lang w:val="en-US"/>
        </w:rPr>
        <w:t xml:space="preserve"> to a</w:t>
      </w:r>
      <w:r w:rsidR="00C9619C" w:rsidRPr="00245623">
        <w:rPr>
          <w:lang w:val="en-US"/>
        </w:rPr>
        <w:t xml:space="preserve"> positive correlation between </w:t>
      </w:r>
      <w:proofErr w:type="spellStart"/>
      <w:r w:rsidR="00C9619C" w:rsidRPr="00245623">
        <w:rPr>
          <w:lang w:val="en-US"/>
        </w:rPr>
        <w:t>tCho</w:t>
      </w:r>
      <w:proofErr w:type="spellEnd"/>
      <w:r w:rsidR="00C9619C" w:rsidRPr="00245623">
        <w:rPr>
          <w:lang w:val="en-US"/>
        </w:rPr>
        <w:t xml:space="preserve"> ADC and MAF</w:t>
      </w:r>
      <w:r w:rsidR="002D266F" w:rsidRPr="00245623">
        <w:rPr>
          <w:lang w:val="en-US"/>
        </w:rPr>
        <w:t xml:space="preserve"> (Figure </w:t>
      </w:r>
      <w:r w:rsidR="00F536C7" w:rsidRPr="00245623">
        <w:rPr>
          <w:lang w:val="en-US"/>
        </w:rPr>
        <w:t>6</w:t>
      </w:r>
      <w:r w:rsidR="002D266F" w:rsidRPr="00245623">
        <w:rPr>
          <w:lang w:val="en-US"/>
        </w:rPr>
        <w:t>D)</w:t>
      </w:r>
      <w:r w:rsidR="00C9619C" w:rsidRPr="00245623">
        <w:rPr>
          <w:lang w:val="en-US"/>
        </w:rPr>
        <w:t xml:space="preserve">, it is tempting to speculate that </w:t>
      </w:r>
      <w:r w:rsidR="00814D31" w:rsidRPr="00245623">
        <w:rPr>
          <w:lang w:val="en-US"/>
        </w:rPr>
        <w:t>the</w:t>
      </w:r>
      <w:r w:rsidRPr="00245623">
        <w:rPr>
          <w:lang w:val="en-US"/>
        </w:rPr>
        <w:t xml:space="preserve"> elevated </w:t>
      </w:r>
      <w:proofErr w:type="spellStart"/>
      <w:r w:rsidRPr="00245623">
        <w:rPr>
          <w:lang w:val="en-US"/>
        </w:rPr>
        <w:t>tCho</w:t>
      </w:r>
      <w:proofErr w:type="spellEnd"/>
      <w:r w:rsidRPr="00245623">
        <w:rPr>
          <w:lang w:val="en-US"/>
        </w:rPr>
        <w:t xml:space="preserve"> diffusivity </w:t>
      </w:r>
      <w:r w:rsidR="00814D31" w:rsidRPr="00245623">
        <w:rPr>
          <w:lang w:val="en-US"/>
        </w:rPr>
        <w:t>observed in our study in the CPZ mouse model</w:t>
      </w:r>
      <w:r w:rsidR="00CF32E6" w:rsidRPr="00245623">
        <w:rPr>
          <w:lang w:val="en-US"/>
        </w:rPr>
        <w:t xml:space="preserve"> compared to </w:t>
      </w:r>
      <w:r w:rsidR="00472EFB" w:rsidRPr="00245623">
        <w:rPr>
          <w:lang w:val="en-US"/>
        </w:rPr>
        <w:t>control</w:t>
      </w:r>
      <w:r w:rsidR="00CF32E6" w:rsidRPr="00245623">
        <w:rPr>
          <w:lang w:val="en-US"/>
        </w:rPr>
        <w:t xml:space="preserve"> mice</w:t>
      </w:r>
      <w:r w:rsidRPr="00245623">
        <w:rPr>
          <w:lang w:val="en-US"/>
        </w:rPr>
        <w:t xml:space="preserve"> </w:t>
      </w:r>
      <w:r w:rsidR="00AD39B7" w:rsidRPr="00245623">
        <w:rPr>
          <w:lang w:val="en-US"/>
        </w:rPr>
        <w:t>may</w:t>
      </w:r>
      <w:r w:rsidRPr="00245623">
        <w:rPr>
          <w:lang w:val="en-US"/>
        </w:rPr>
        <w:t xml:space="preserve"> be linked to microglia reactivity</w:t>
      </w:r>
      <w:r w:rsidR="00AD39B7" w:rsidRPr="00245623">
        <w:rPr>
          <w:lang w:val="en-US"/>
        </w:rPr>
        <w:t>.</w:t>
      </w:r>
      <w:r w:rsidRPr="00245623">
        <w:rPr>
          <w:lang w:val="en-US"/>
        </w:rPr>
        <w:t xml:space="preserve"> </w:t>
      </w:r>
      <w:r w:rsidR="007D7B46" w:rsidRPr="00245623">
        <w:rPr>
          <w:lang w:val="en-US"/>
        </w:rPr>
        <w:t>Nevertheless</w:t>
      </w:r>
      <w:r w:rsidR="00BE53A4" w:rsidRPr="00245623">
        <w:rPr>
          <w:lang w:val="en-US"/>
        </w:rPr>
        <w:t>,</w:t>
      </w:r>
      <w:r w:rsidRPr="00245623">
        <w:rPr>
          <w:lang w:val="en-US"/>
        </w:rPr>
        <w:t xml:space="preserve"> </w:t>
      </w:r>
      <w:r w:rsidR="00A82C8E" w:rsidRPr="00245623">
        <w:rPr>
          <w:lang w:val="en-US"/>
        </w:rPr>
        <w:t>this</w:t>
      </w:r>
      <w:r w:rsidR="0010232D" w:rsidRPr="00245623">
        <w:rPr>
          <w:lang w:val="en-US"/>
        </w:rPr>
        <w:t xml:space="preserve"> hypothesis</w:t>
      </w:r>
      <w:r w:rsidR="00C9619C" w:rsidRPr="00245623">
        <w:rPr>
          <w:lang w:val="en-US"/>
        </w:rPr>
        <w:t xml:space="preserve"> </w:t>
      </w:r>
      <w:r w:rsidR="0010232D" w:rsidRPr="00245623">
        <w:rPr>
          <w:lang w:val="en-US"/>
        </w:rPr>
        <w:t xml:space="preserve">needs to be corroborated </w:t>
      </w:r>
      <w:r w:rsidR="00B25B7F" w:rsidRPr="00245623">
        <w:rPr>
          <w:lang w:val="en-US"/>
        </w:rPr>
        <w:t xml:space="preserve">by </w:t>
      </w:r>
      <w:r w:rsidR="0010232D" w:rsidRPr="00245623">
        <w:rPr>
          <w:lang w:val="en-US"/>
        </w:rPr>
        <w:t>further experiments.</w:t>
      </w:r>
      <w:r w:rsidR="00716474" w:rsidRPr="00245623">
        <w:rPr>
          <w:lang w:val="en-US"/>
        </w:rPr>
        <w:t xml:space="preserve"> </w:t>
      </w:r>
    </w:p>
    <w:p w14:paraId="3CC761F2" w14:textId="4771C535" w:rsidR="007F3C71" w:rsidRPr="00245623" w:rsidRDefault="00716474" w:rsidP="00CB1C3F">
      <w:pPr>
        <w:spacing w:line="480" w:lineRule="auto"/>
        <w:jc w:val="both"/>
        <w:rPr>
          <w:lang w:val="en-US"/>
        </w:rPr>
      </w:pPr>
      <w:r w:rsidRPr="00245623">
        <w:rPr>
          <w:lang w:val="en-US"/>
        </w:rPr>
        <w:t>Notably</w:t>
      </w:r>
      <w:r w:rsidR="0018201D" w:rsidRPr="00245623">
        <w:rPr>
          <w:lang w:val="en-US"/>
        </w:rPr>
        <w:t xml:space="preserve">, </w:t>
      </w:r>
      <w:r w:rsidR="00D816B2" w:rsidRPr="00245623">
        <w:rPr>
          <w:lang w:val="en-US"/>
        </w:rPr>
        <w:t xml:space="preserve">the </w:t>
      </w:r>
      <w:r w:rsidR="00471566" w:rsidRPr="00245623">
        <w:rPr>
          <w:lang w:val="en-US"/>
        </w:rPr>
        <w:t>unchanged</w:t>
      </w:r>
      <w:r w:rsidR="00B25B7F" w:rsidRPr="00245623">
        <w:rPr>
          <w:lang w:val="en-US"/>
        </w:rPr>
        <w:t xml:space="preserve"> </w:t>
      </w:r>
      <w:r w:rsidR="0018201D" w:rsidRPr="00245623">
        <w:rPr>
          <w:lang w:val="en-US"/>
        </w:rPr>
        <w:t>diffusivit</w:t>
      </w:r>
      <w:r w:rsidR="006F04CC" w:rsidRPr="00245623">
        <w:rPr>
          <w:lang w:val="en-US"/>
        </w:rPr>
        <w:t>y</w:t>
      </w:r>
      <w:r w:rsidR="00D816B2" w:rsidRPr="00245623">
        <w:rPr>
          <w:lang w:val="en-US"/>
        </w:rPr>
        <w:t xml:space="preserve"> of the intra-axonal metabolite </w:t>
      </w:r>
      <w:proofErr w:type="spellStart"/>
      <w:r w:rsidR="00D816B2" w:rsidRPr="00245623">
        <w:rPr>
          <w:lang w:val="en-US"/>
        </w:rPr>
        <w:t>tNAA</w:t>
      </w:r>
      <w:proofErr w:type="spellEnd"/>
      <w:r w:rsidR="0018201D" w:rsidRPr="00245623">
        <w:rPr>
          <w:lang w:val="en-US"/>
        </w:rPr>
        <w:t xml:space="preserve"> </w:t>
      </w:r>
      <w:r w:rsidR="00B25B7F" w:rsidRPr="00245623">
        <w:rPr>
          <w:lang w:val="en-US"/>
        </w:rPr>
        <w:t>in CPZ</w:t>
      </w:r>
      <w:r w:rsidR="00471566" w:rsidRPr="00245623">
        <w:rPr>
          <w:lang w:val="en-US"/>
        </w:rPr>
        <w:t xml:space="preserve"> vs. control</w:t>
      </w:r>
      <w:r w:rsidR="00B25B7F" w:rsidRPr="00245623">
        <w:rPr>
          <w:lang w:val="en-US"/>
        </w:rPr>
        <w:t xml:space="preserve"> </w:t>
      </w:r>
      <w:r w:rsidRPr="00245623">
        <w:rPr>
          <w:lang w:val="en-US"/>
        </w:rPr>
        <w:t>m</w:t>
      </w:r>
      <w:r w:rsidR="00471566" w:rsidRPr="00245623">
        <w:rPr>
          <w:lang w:val="en-US"/>
        </w:rPr>
        <w:t>ice</w:t>
      </w:r>
      <w:r w:rsidR="0018201D" w:rsidRPr="00245623">
        <w:rPr>
          <w:lang w:val="en-US"/>
        </w:rPr>
        <w:t xml:space="preserve">, </w:t>
      </w:r>
      <w:r w:rsidR="00B25B7F" w:rsidRPr="00245623">
        <w:rPr>
          <w:lang w:val="en-US"/>
        </w:rPr>
        <w:t xml:space="preserve">suggested </w:t>
      </w:r>
      <w:r w:rsidR="0018201D" w:rsidRPr="00245623">
        <w:rPr>
          <w:lang w:val="en-US"/>
        </w:rPr>
        <w:t xml:space="preserve">that the intra-axonal compartments </w:t>
      </w:r>
      <w:r w:rsidR="0008273D" w:rsidRPr="00245623">
        <w:rPr>
          <w:lang w:val="en-US"/>
        </w:rPr>
        <w:t>were</w:t>
      </w:r>
      <w:r w:rsidR="0018201D" w:rsidRPr="00245623">
        <w:rPr>
          <w:lang w:val="en-US"/>
        </w:rPr>
        <w:t xml:space="preserve"> still intact</w:t>
      </w:r>
      <w:r w:rsidR="00B25B7F" w:rsidRPr="00245623">
        <w:rPr>
          <w:lang w:val="en-US"/>
        </w:rPr>
        <w:t xml:space="preserve"> after 6 weeks of CPZ diet and under our experimental conditions</w:t>
      </w:r>
      <w:r w:rsidR="004E45FE" w:rsidRPr="00245623">
        <w:rPr>
          <w:lang w:val="en-US"/>
        </w:rPr>
        <w:t>, while</w:t>
      </w:r>
      <w:r w:rsidR="00137897" w:rsidRPr="00245623">
        <w:rPr>
          <w:lang w:val="en-US"/>
        </w:rPr>
        <w:t xml:space="preserve"> </w:t>
      </w:r>
      <w:r w:rsidR="004E45FE" w:rsidRPr="00245623">
        <w:rPr>
          <w:lang w:val="en-US"/>
        </w:rPr>
        <w:t xml:space="preserve">glial reactivity </w:t>
      </w:r>
      <w:r w:rsidR="0008273D" w:rsidRPr="00245623">
        <w:rPr>
          <w:lang w:val="en-US"/>
        </w:rPr>
        <w:t>was</w:t>
      </w:r>
      <w:r w:rsidR="004E45FE" w:rsidRPr="00245623">
        <w:rPr>
          <w:lang w:val="en-US"/>
        </w:rPr>
        <w:t xml:space="preserve"> the dominant ongoing process</w:t>
      </w:r>
      <w:r w:rsidR="00137897" w:rsidRPr="00245623">
        <w:rPr>
          <w:lang w:val="en-US"/>
        </w:rPr>
        <w:t xml:space="preserve"> in response to CPZ intoxication</w:t>
      </w:r>
      <w:r w:rsidR="00602F85" w:rsidRPr="00245623">
        <w:rPr>
          <w:lang w:val="en-US"/>
        </w:rPr>
        <w:t xml:space="preserve"> at this time point</w:t>
      </w:r>
      <w:r w:rsidR="00F66177" w:rsidRPr="00245623">
        <w:rPr>
          <w:lang w:val="en-US"/>
        </w:rPr>
        <w:t>.</w:t>
      </w:r>
      <w:r w:rsidR="006A50C8" w:rsidRPr="00245623">
        <w:rPr>
          <w:lang w:val="en-US"/>
        </w:rPr>
        <w:t xml:space="preserve"> </w:t>
      </w:r>
      <w:r w:rsidR="00382D7A" w:rsidRPr="00245623">
        <w:rPr>
          <w:lang w:val="en-US"/>
        </w:rPr>
        <w:t xml:space="preserve">This result </w:t>
      </w:r>
      <w:r w:rsidR="00471566" w:rsidRPr="00245623">
        <w:rPr>
          <w:lang w:val="en-US"/>
        </w:rPr>
        <w:t>was</w:t>
      </w:r>
      <w:r w:rsidR="00382D7A" w:rsidRPr="00245623">
        <w:rPr>
          <w:lang w:val="en-US"/>
        </w:rPr>
        <w:t xml:space="preserve"> </w:t>
      </w:r>
      <w:r w:rsidR="004E45FE" w:rsidRPr="00245623">
        <w:rPr>
          <w:lang w:val="en-US"/>
        </w:rPr>
        <w:t>consistent</w:t>
      </w:r>
      <w:r w:rsidR="00382D7A" w:rsidRPr="00245623">
        <w:rPr>
          <w:lang w:val="en-US"/>
        </w:rPr>
        <w:t xml:space="preserve"> with the </w:t>
      </w:r>
      <w:r w:rsidR="004E45FE" w:rsidRPr="00245623">
        <w:rPr>
          <w:lang w:val="en-US"/>
        </w:rPr>
        <w:t>presence</w:t>
      </w:r>
      <w:r w:rsidR="00382D7A" w:rsidRPr="00245623">
        <w:rPr>
          <w:lang w:val="en-US"/>
        </w:rPr>
        <w:t xml:space="preserve"> of partial demyelination</w:t>
      </w:r>
      <w:r w:rsidR="004E45FE" w:rsidRPr="00245623">
        <w:rPr>
          <w:lang w:val="en-US"/>
        </w:rPr>
        <w:t xml:space="preserve"> associated with</w:t>
      </w:r>
      <w:r w:rsidR="00D816B2" w:rsidRPr="00245623">
        <w:rPr>
          <w:lang w:val="en-US"/>
        </w:rPr>
        <w:t xml:space="preserve"> </w:t>
      </w:r>
      <w:r w:rsidR="00565D96" w:rsidRPr="00245623">
        <w:rPr>
          <w:lang w:val="en-US"/>
        </w:rPr>
        <w:t xml:space="preserve">still </w:t>
      </w:r>
      <w:r w:rsidR="00D816B2" w:rsidRPr="00245623">
        <w:rPr>
          <w:lang w:val="en-US"/>
        </w:rPr>
        <w:t>intact</w:t>
      </w:r>
      <w:r w:rsidR="004E45FE" w:rsidRPr="00245623">
        <w:rPr>
          <w:lang w:val="en-US"/>
        </w:rPr>
        <w:t xml:space="preserve"> axonal dia</w:t>
      </w:r>
      <w:r w:rsidR="00D816B2" w:rsidRPr="00245623">
        <w:rPr>
          <w:lang w:val="en-US"/>
        </w:rPr>
        <w:t>m</w:t>
      </w:r>
      <w:r w:rsidR="004E45FE" w:rsidRPr="00245623">
        <w:rPr>
          <w:lang w:val="en-US"/>
        </w:rPr>
        <w:t>eters</w:t>
      </w:r>
      <w:r w:rsidR="00382D7A" w:rsidRPr="00245623">
        <w:rPr>
          <w:lang w:val="en-US"/>
        </w:rPr>
        <w:t xml:space="preserve"> </w:t>
      </w:r>
      <w:r w:rsidR="00565D96" w:rsidRPr="00245623">
        <w:rPr>
          <w:lang w:val="en-US"/>
        </w:rPr>
        <w:t>quantified</w:t>
      </w:r>
      <w:r w:rsidR="00382D7A" w:rsidRPr="00245623">
        <w:rPr>
          <w:lang w:val="en-US"/>
        </w:rPr>
        <w:t xml:space="preserve"> using </w:t>
      </w:r>
      <w:r w:rsidR="0008273D" w:rsidRPr="00245623">
        <w:rPr>
          <w:lang w:val="en-US"/>
        </w:rPr>
        <w:t>EM</w:t>
      </w:r>
      <w:r w:rsidR="00382D7A" w:rsidRPr="00245623">
        <w:rPr>
          <w:lang w:val="en-US"/>
        </w:rPr>
        <w:t xml:space="preserve"> in the same m</w:t>
      </w:r>
      <w:r w:rsidR="00F6543D" w:rsidRPr="00245623">
        <w:rPr>
          <w:lang w:val="en-US"/>
        </w:rPr>
        <w:t>ouse</w:t>
      </w:r>
      <w:r w:rsidR="00382D7A" w:rsidRPr="00245623">
        <w:rPr>
          <w:lang w:val="en-US"/>
        </w:rPr>
        <w:t xml:space="preserve"> group and reported recently in another study </w:t>
      </w:r>
      <w:r w:rsidR="00BA76C6" w:rsidRPr="00245623">
        <w:rPr>
          <w:lang w:val="en-US"/>
        </w:rPr>
        <w:fldChar w:fldCharType="begin"/>
      </w:r>
      <w:r w:rsidR="00AC7306" w:rsidRPr="00245623">
        <w:rPr>
          <w:lang w:val="en-US"/>
        </w:rPr>
        <w:instrText xml:space="preserve"> ADDIN ZOTERO_ITEM CSL_CITATION {"citationID":"FF9DlXXi","properties":{"formattedCitation":"\\super 25\\nosupersub{}","plainCitation":"25","noteIndex":0},"citationItems":[{"id":626,"uris":["http://zotero.org/users/local/JiswOD7j/items/JCWZ2ACZ"],"uri":["http://zotero.org/users/local/JiswOD7j/items/JCWZ2ACZ"],"itemData":{"id":626,"type":"article-journal","container-title":"arXiv preprint arXiv:1907.02324","title":"Machine learning based white matter models with permeability: an experimental study in cuprizone treated in-vivo mouse model of axonal demyelination","author":[{"family":"Hill","given":"Ioana"},{"family":"Palombo","given":"Marco"},{"family":"Santin","given":"Mathieu"},{"family":"Branzoli","given":"Francesca"},{"family":"Philippe","given":"Anne-Charlotte"},{"family":"Wassermann","given":"Demian"},{"family":"Aigrot","given":"Marie-Stéphane"}],"issued":{"date-parts":[["2019"]]}}}],"schema":"https://github.com/citation-style-language/schema/raw/master/csl-citation.json"} </w:instrText>
      </w:r>
      <w:r w:rsidR="00BA76C6" w:rsidRPr="00245623">
        <w:rPr>
          <w:lang w:val="en-US"/>
        </w:rPr>
        <w:fldChar w:fldCharType="separate"/>
      </w:r>
      <w:r w:rsidR="00AC7306" w:rsidRPr="00245623">
        <w:rPr>
          <w:vertAlign w:val="superscript"/>
          <w:lang w:val="en-US"/>
        </w:rPr>
        <w:t>25</w:t>
      </w:r>
      <w:r w:rsidR="00BA76C6" w:rsidRPr="00245623">
        <w:rPr>
          <w:lang w:val="en-US"/>
        </w:rPr>
        <w:fldChar w:fldCharType="end"/>
      </w:r>
      <w:r w:rsidR="00382D7A" w:rsidRPr="00245623">
        <w:rPr>
          <w:lang w:val="en-US"/>
        </w:rPr>
        <w:t>.</w:t>
      </w:r>
    </w:p>
    <w:p w14:paraId="48054805" w14:textId="760FF8CC" w:rsidR="0040637F" w:rsidRPr="00245623" w:rsidRDefault="00517DC8" w:rsidP="0040637F">
      <w:pPr>
        <w:spacing w:line="480" w:lineRule="auto"/>
        <w:jc w:val="both"/>
        <w:rPr>
          <w:lang w:val="en-US"/>
        </w:rPr>
      </w:pPr>
      <w:r w:rsidRPr="00245623">
        <w:rPr>
          <w:lang w:val="en-US"/>
        </w:rPr>
        <w:t>T</w:t>
      </w:r>
      <w:r w:rsidR="00D8154C" w:rsidRPr="00245623">
        <w:rPr>
          <w:lang w:val="en-US"/>
        </w:rPr>
        <w:t xml:space="preserve">he ADC of </w:t>
      </w:r>
      <w:proofErr w:type="spellStart"/>
      <w:r w:rsidR="00BE3655" w:rsidRPr="00245623">
        <w:rPr>
          <w:lang w:val="en-US"/>
        </w:rPr>
        <w:t>tCr</w:t>
      </w:r>
      <w:proofErr w:type="spellEnd"/>
      <w:r w:rsidR="00BE3655" w:rsidRPr="00245623">
        <w:rPr>
          <w:lang w:val="en-US"/>
        </w:rPr>
        <w:t xml:space="preserve"> </w:t>
      </w:r>
      <w:r w:rsidR="00D8154C" w:rsidRPr="00245623">
        <w:rPr>
          <w:lang w:val="en-US"/>
        </w:rPr>
        <w:t>was</w:t>
      </w:r>
      <w:r w:rsidRPr="00245623">
        <w:rPr>
          <w:lang w:val="en-US"/>
        </w:rPr>
        <w:t xml:space="preserve"> also not</w:t>
      </w:r>
      <w:r w:rsidR="00D8154C" w:rsidRPr="00245623">
        <w:rPr>
          <w:lang w:val="en-US"/>
        </w:rPr>
        <w:t xml:space="preserve"> significantly different between CPZ and healthy mice. </w:t>
      </w:r>
      <w:r w:rsidR="0040637F" w:rsidRPr="00245623">
        <w:rPr>
          <w:lang w:val="en-US"/>
        </w:rPr>
        <w:t>Because</w:t>
      </w:r>
      <w:r w:rsidR="00D8154C" w:rsidRPr="00245623">
        <w:rPr>
          <w:lang w:val="en-US"/>
        </w:rPr>
        <w:t xml:space="preserve"> </w:t>
      </w:r>
      <w:proofErr w:type="spellStart"/>
      <w:r w:rsidR="00D8154C" w:rsidRPr="00245623">
        <w:rPr>
          <w:lang w:val="en-US"/>
        </w:rPr>
        <w:t>tCr</w:t>
      </w:r>
      <w:proofErr w:type="spellEnd"/>
      <w:r w:rsidR="00D8154C" w:rsidRPr="00245623">
        <w:rPr>
          <w:lang w:val="en-US"/>
        </w:rPr>
        <w:t xml:space="preserve"> is located </w:t>
      </w:r>
      <w:r w:rsidR="0040637F" w:rsidRPr="00245623">
        <w:rPr>
          <w:lang w:val="en-US"/>
        </w:rPr>
        <w:t xml:space="preserve">both </w:t>
      </w:r>
      <w:r w:rsidR="00506F12" w:rsidRPr="00245623">
        <w:rPr>
          <w:lang w:val="en-US"/>
        </w:rPr>
        <w:t xml:space="preserve">in </w:t>
      </w:r>
      <w:r w:rsidR="0040637F" w:rsidRPr="00245623">
        <w:rPr>
          <w:lang w:val="en-US"/>
        </w:rPr>
        <w:t xml:space="preserve">glia and neurons, this negative finding may </w:t>
      </w:r>
      <w:r w:rsidR="00506F12" w:rsidRPr="00245623">
        <w:rPr>
          <w:lang w:val="en-US"/>
        </w:rPr>
        <w:t>reflect</w:t>
      </w:r>
      <w:r w:rsidR="0040637F" w:rsidRPr="00245623">
        <w:rPr>
          <w:lang w:val="en-US"/>
        </w:rPr>
        <w:t xml:space="preserve"> the concomitant presence of competing mechanisms that would independently lead to higher or lower </w:t>
      </w:r>
      <w:proofErr w:type="spellStart"/>
      <w:r w:rsidR="0040637F" w:rsidRPr="00245623">
        <w:rPr>
          <w:lang w:val="en-US"/>
        </w:rPr>
        <w:t>tCr</w:t>
      </w:r>
      <w:proofErr w:type="spellEnd"/>
      <w:r w:rsidR="0040637F" w:rsidRPr="00245623">
        <w:rPr>
          <w:lang w:val="en-US"/>
        </w:rPr>
        <w:t xml:space="preserve"> ADC values.</w:t>
      </w:r>
      <w:r w:rsidR="00506F12" w:rsidRPr="00245623">
        <w:rPr>
          <w:lang w:val="en-US"/>
        </w:rPr>
        <w:t xml:space="preserve"> In fact, higher </w:t>
      </w:r>
      <w:proofErr w:type="spellStart"/>
      <w:r w:rsidR="00506F12" w:rsidRPr="00245623">
        <w:rPr>
          <w:lang w:val="en-US"/>
        </w:rPr>
        <w:t>tCr</w:t>
      </w:r>
      <w:proofErr w:type="spellEnd"/>
      <w:r w:rsidR="00C16E9E" w:rsidRPr="00245623">
        <w:rPr>
          <w:lang w:val="en-US"/>
        </w:rPr>
        <w:t xml:space="preserve"> ADCs</w:t>
      </w:r>
      <w:r w:rsidR="00506F12" w:rsidRPr="00245623">
        <w:rPr>
          <w:lang w:val="en-US"/>
        </w:rPr>
        <w:t xml:space="preserve"> </w:t>
      </w:r>
      <w:r w:rsidR="001C62A0" w:rsidRPr="00245623">
        <w:rPr>
          <w:lang w:val="en-US"/>
        </w:rPr>
        <w:t>have been previously</w:t>
      </w:r>
      <w:r w:rsidR="00506F12" w:rsidRPr="00245623">
        <w:rPr>
          <w:lang w:val="en-US"/>
        </w:rPr>
        <w:t xml:space="preserve"> attributed to </w:t>
      </w:r>
      <w:r w:rsidR="001C62A0" w:rsidRPr="00245623">
        <w:rPr>
          <w:lang w:val="en-US"/>
        </w:rPr>
        <w:t>glial reactivity</w:t>
      </w:r>
      <w:r w:rsidR="00506F12" w:rsidRPr="00245623">
        <w:rPr>
          <w:lang w:val="en-US"/>
        </w:rPr>
        <w:t xml:space="preserve"> in </w:t>
      </w:r>
      <w:r w:rsidR="00C16E9E" w:rsidRPr="00245623">
        <w:rPr>
          <w:lang w:val="en-US"/>
        </w:rPr>
        <w:t xml:space="preserve">patients with </w:t>
      </w:r>
      <w:r w:rsidR="0008273D" w:rsidRPr="00245623">
        <w:rPr>
          <w:lang w:val="en-US"/>
        </w:rPr>
        <w:t>NPSLE</w:t>
      </w:r>
      <w:r w:rsidR="00C16E9E"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{"citationID":"70xxubSm","properties":{"formattedCitation":"\\super 18\\nosupersub{}","plainCitation":"18","noteIndex":0},"citationItems":[{"id":311,"uris":["http://zotero.org/users/local/JiswOD7j/items/N7QKKWQJ"],"uri":["http://zotero.org/users/local/JiswOD7j/items/N7QKKWQJ"],"itemData":{"id":311,"type":"article-journal","container-title":"Brain","DOI":"10.1093/brain/aww031","ISSN":"0006-8950, 1460-2156","issue":"5","language":"en","page":"1447-1457","source":"Crossref","title":"Glial and axonal changes in systemic lupus erythematosus measured with diffusion of intracellular metabolites","volume":"139","author":[{"family":"Ercan","given":"Ece"},{"family":"Magro-Checa","given":"Cesar"},{"family":"Valabregue","given":"Romain"},{"family":"Branzoli","given":"Francesca"},{"family":"Wood","given":"Emily T."},{"family":"Steup-Beekman","given":"Gerda M."},{"family":"Webb","given":"Andrew G."},{"family":"Huizinga","given":"Tom W. J."},{"family":"Buchem","given":"Mark A.","non-dropping-particle":"van"},{"family":"Ronen","given":"Itamar"}],"issued":{"date-parts":[["2016",5]]}}}],"schema":"https://github.com/citation-style-language/schema/raw/master/csl-citation.json"} </w:instrText>
      </w:r>
      <w:r w:rsidR="00BA76C6" w:rsidRPr="00245623">
        <w:rPr>
          <w:lang w:val="en-US"/>
        </w:rPr>
        <w:fldChar w:fldCharType="separate"/>
      </w:r>
      <w:r w:rsidR="00AC7306" w:rsidRPr="00245623">
        <w:rPr>
          <w:vertAlign w:val="superscript"/>
          <w:lang w:val="en-US"/>
        </w:rPr>
        <w:t>18</w:t>
      </w:r>
      <w:r w:rsidR="00BA76C6" w:rsidRPr="00245623">
        <w:rPr>
          <w:lang w:val="en-US"/>
        </w:rPr>
        <w:fldChar w:fldCharType="end"/>
      </w:r>
      <w:r w:rsidR="00C16E9E" w:rsidRPr="00245623">
        <w:rPr>
          <w:lang w:val="en-US"/>
        </w:rPr>
        <w:t xml:space="preserve">, while lower </w:t>
      </w:r>
      <w:proofErr w:type="spellStart"/>
      <w:r w:rsidR="00C16E9E" w:rsidRPr="00245623">
        <w:rPr>
          <w:lang w:val="en-US"/>
        </w:rPr>
        <w:t>tCr</w:t>
      </w:r>
      <w:proofErr w:type="spellEnd"/>
      <w:r w:rsidR="00C16E9E" w:rsidRPr="00245623">
        <w:rPr>
          <w:lang w:val="en-US"/>
        </w:rPr>
        <w:t xml:space="preserve"> ADC</w:t>
      </w:r>
      <w:r w:rsidR="00C907F1" w:rsidRPr="00245623">
        <w:rPr>
          <w:lang w:val="en-US"/>
        </w:rPr>
        <w:t xml:space="preserve"> were observed </w:t>
      </w:r>
      <w:r w:rsidR="00C16E9E" w:rsidRPr="00245623">
        <w:rPr>
          <w:lang w:val="en-US"/>
        </w:rPr>
        <w:t>in</w:t>
      </w:r>
      <w:r w:rsidR="00A13841" w:rsidRPr="00245623">
        <w:rPr>
          <w:lang w:val="en-US"/>
        </w:rPr>
        <w:t xml:space="preserve"> the normal appearing </w:t>
      </w:r>
      <w:r w:rsidR="00C40821" w:rsidRPr="00245623">
        <w:rPr>
          <w:lang w:val="en-US"/>
        </w:rPr>
        <w:t>white matter</w:t>
      </w:r>
      <w:r w:rsidR="00A13841" w:rsidRPr="00245623">
        <w:rPr>
          <w:lang w:val="en-US"/>
        </w:rPr>
        <w:t xml:space="preserve"> of</w:t>
      </w:r>
      <w:r w:rsidR="00C16E9E" w:rsidRPr="00245623">
        <w:rPr>
          <w:lang w:val="en-US"/>
        </w:rPr>
        <w:t xml:space="preserve"> </w:t>
      </w:r>
      <w:r w:rsidR="00C25A60" w:rsidRPr="00245623">
        <w:rPr>
          <w:lang w:val="en-US"/>
        </w:rPr>
        <w:t xml:space="preserve">patients with </w:t>
      </w:r>
      <w:r w:rsidR="00C16E9E" w:rsidRPr="00245623">
        <w:rPr>
          <w:lang w:val="en-US"/>
        </w:rPr>
        <w:t>multiple sclerosis</w:t>
      </w:r>
      <w:r w:rsidR="00C25A60" w:rsidRPr="00245623">
        <w:rPr>
          <w:lang w:val="en-US"/>
        </w:rPr>
        <w:t xml:space="preserve"> </w:t>
      </w:r>
      <w:r w:rsidR="00FE4AF0" w:rsidRPr="00245623">
        <w:rPr>
          <w:lang w:val="en-US"/>
        </w:rPr>
        <w:lastRenderedPageBreak/>
        <w:t xml:space="preserve">(MS) </w:t>
      </w:r>
      <w:r w:rsidR="00C25A60" w:rsidRPr="00245623">
        <w:rPr>
          <w:lang w:val="en-US"/>
        </w:rPr>
        <w:t>compared to healthy subjects</w:t>
      </w:r>
      <w:r w:rsidR="006152F0"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{"citationID":"iwdAOuH3","properties":{"formattedCitation":"\\super 39\\nosupersub{}","plainCitation":"39","noteIndex":0},"citationItems":[{"id":607,"uris":["http://zotero.org/users/local/JiswOD7j/items/REI7N5LT"],"uri":["http://zotero.org/users/local/JiswOD7j/items/REI7N5LT"],"itemData":{"id":607,"type":"article-journal","abstract":"Objective: We employed diffusion-weighted magnetic resonance spectroscopy (DW-MRS), which allows to measure in vivo the diffusion properties of metabolites, to explore the functional neuro-axonal damage and the ongoing energetic dysregulation in multiple sclerosis (MS).\nMethods: Twenty-five patients with MS and 18 healthy controls (HC) underwent conventional magnetic resonance imaging (MRI) and DW-MRS. The apparent diffusion coefficient (ADC) of total N-acetylaspartate (tNAA) and creatine–phosphocreatine (tCr) were measured in the parietal normal-appearing white matter (NAWM) and in the thalamic grey matter (TGM). Multiple regressions were used to compare metabolite ADCs between groups and to explore clinical correlations.\nResults: In patients compared with HCs, we found a reduction in ADC(tNAA) in the TGM, reflecting functional and structural neuro-axonal damage, and in ADC(tCr) in both NAWM and TGM, possibly reflecting a reduction in energy supply in neurons and glial cells. Metabolite ADCs did not correlate with tissue atrophy, lesional volume or metabolite concentrations, while in TGM metabolite ADCs correlated with clinical scores.\nConclusion: DW-MRS showed a reduction in tCr diffusivity in the normal-appearing brain of patients with MS, which might reflect a state of ongoing energy dysregulation affecting neurons and/or glial cells. Reversing this energy dysregulation before neuro-axonal degeneration arises may become a key objective in future neuroprotective strategies.","container-title":"Multiple Sclerosis Journal","DOI":"10.1177/1352458517698249","ISSN":"1352-4585, 1477-0970","issue":"3","journalAbbreviation":"Mult Scler","language":"en","page":"313-321","source":"DOI.org (Crossref)","title":"Dysregulation of energy metabolism in multiple sclerosis measured in vivo with diffusion-weighted spectroscopy","volume":"24","author":[{"family":"Bodini","given":"Benedetta"},{"family":"Branzoli","given":"Francesca"},{"family":"Poirion","given":"Emilie"},{"family":"García-Lorenzo","given":"Daniel"},{"family":"Didier","given":"Mélanie"},{"family":"Maillart","given":"Elisabeth"},{"family":"Socha","given":"Julie"},{"family":"Bera","given":"Geraldine"},{"family":"Lubetzki","given":"Catherine"},{"family":"Ronen","given":"Itamar"},{"family":"Lehericy","given":"Stephane"},{"family":"Stankoff","given":"Bruno"}],"issued":{"date-parts":[["2018",3]]}}}],"schema":"https://github.com/citation-style-language/schema/raw/master/csl-citation.json"} </w:instrText>
      </w:r>
      <w:r w:rsidR="00BA76C6" w:rsidRPr="00245623">
        <w:rPr>
          <w:lang w:val="en-US"/>
        </w:rPr>
        <w:fldChar w:fldCharType="separate"/>
      </w:r>
      <w:r w:rsidR="00AC7306" w:rsidRPr="00245623">
        <w:rPr>
          <w:vertAlign w:val="superscript"/>
          <w:lang w:val="en-US"/>
        </w:rPr>
        <w:t>39</w:t>
      </w:r>
      <w:r w:rsidR="00BA76C6" w:rsidRPr="00245623">
        <w:rPr>
          <w:lang w:val="en-US"/>
        </w:rPr>
        <w:fldChar w:fldCharType="end"/>
      </w:r>
      <w:r w:rsidR="001C62A0" w:rsidRPr="00245623">
        <w:rPr>
          <w:lang w:val="en-US"/>
        </w:rPr>
        <w:t>.</w:t>
      </w:r>
      <w:r w:rsidR="0035687C" w:rsidRPr="00245623">
        <w:rPr>
          <w:lang w:val="en-US"/>
        </w:rPr>
        <w:t xml:space="preserve"> </w:t>
      </w:r>
      <w:r w:rsidR="008B1EB4" w:rsidRPr="00245623">
        <w:rPr>
          <w:lang w:val="en-US"/>
        </w:rPr>
        <w:t>Mitochondrial impairment has been suggested to significantly contribute to oligodendroglial apoptosis in CPZ-treated mice, thus compromising energy metabolism of cells</w:t>
      </w:r>
      <w:r w:rsidR="00E859C8"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{"citationID":"Fg4t6dbl","properties":{"formattedCitation":"\\super 40\\nosupersub{}","plainCitation":"40","noteIndex":0},"citationItems":[{"id":609,"uris":["http://zotero.org/users/local/JiswOD7j/items/J4Q9N3FD"],"uri":["http://zotero.org/users/local/JiswOD7j/items/J4Q9N3FD"],"itemData":{"id":609,"type":"article-journal","abstract":"In order to further characterize the still unknown mechanism of cuprizone-induced demyelination, we investigated its effect on rat primary oligodendroglial cell cultures. Cell viability was not signiﬁcantly affected by this treatment. However, when concentrations of IFNc and/or TNFa having no deleterious effects per se on cell viability were added together with cuprizone, cell viability decreased significantly. In mitochondria isolated from cuprizonetreated glial cells, we observed a marked decrease in the activities of the various complexes of the respiratory chain, indicating a disruption of mitochondrial function. An enhancement in oxidant production was also observed in cuprizone and/or TNFa-treated oligodendroglial cells. In in vivo experiments, inhibition of microglial activation with minocycline prevented cuprizone-induced demyelination. Based on the abovementioned results we suggest that these microglial cells appear to have a very active role in cuprizone-induced oligodendroglial cell death and demyelination, through the production and secretion of pro-inﬂammatory cytokines.","container-title":"Neurochemical Research","DOI":"10.1007/s11064-006-9165-0","ISSN":"0364-3190, 1573-6903","issue":"2","journalAbbreviation":"Neurochem Res","language":"en","page":"279-292","source":"DOI.org (Crossref)","title":"The Neurotoxic Effect of Cuprizone on Oligodendrocytes Depends on the Presence of Pro-inflammatory Cytokines Secreted by Microglia","volume":"32","author":[{"family":"Pasquini","given":"L. A."},{"family":"Calatayud","given":"C. A."},{"family":"Bertone Uña","given":"A. L."},{"family":"Millet","given":"V."},{"family":"Pasquini","given":"J. M."},{"family":"Soto","given":"E. F."}],"issued":{"date-parts":[["2007",2,7]]}}}],"schema":"https://github.com/citation-style-language/schema/raw/master/csl-citation.json"} </w:instrText>
      </w:r>
      <w:r w:rsidR="00BA76C6" w:rsidRPr="00245623">
        <w:rPr>
          <w:lang w:val="en-US"/>
        </w:rPr>
        <w:fldChar w:fldCharType="separate"/>
      </w:r>
      <w:r w:rsidR="00AC7306" w:rsidRPr="00245623">
        <w:rPr>
          <w:vertAlign w:val="superscript"/>
          <w:lang w:val="en-US"/>
        </w:rPr>
        <w:t>40</w:t>
      </w:r>
      <w:r w:rsidR="00BA76C6" w:rsidRPr="00245623">
        <w:rPr>
          <w:lang w:val="en-US"/>
        </w:rPr>
        <w:fldChar w:fldCharType="end"/>
      </w:r>
      <w:r w:rsidR="008B1EB4" w:rsidRPr="00245623">
        <w:rPr>
          <w:lang w:val="en-US"/>
        </w:rPr>
        <w:t xml:space="preserve">. </w:t>
      </w:r>
      <w:r w:rsidR="009D70AB" w:rsidRPr="00245623">
        <w:rPr>
          <w:lang w:val="en-US"/>
        </w:rPr>
        <w:t>The combination of severe inflammation with i</w:t>
      </w:r>
      <w:r w:rsidR="008B1EB4" w:rsidRPr="00245623">
        <w:rPr>
          <w:lang w:val="en-US"/>
        </w:rPr>
        <w:t xml:space="preserve">mpairment of energy metabolism </w:t>
      </w:r>
      <w:r w:rsidR="00992D4D" w:rsidRPr="00245623">
        <w:rPr>
          <w:lang w:val="en-US"/>
        </w:rPr>
        <w:t xml:space="preserve">in CPZ mice </w:t>
      </w:r>
      <w:r w:rsidR="008B1EB4" w:rsidRPr="00245623">
        <w:rPr>
          <w:lang w:val="en-US"/>
        </w:rPr>
        <w:t xml:space="preserve">may prevent the use of </w:t>
      </w:r>
      <w:proofErr w:type="spellStart"/>
      <w:r w:rsidR="008B1EB4" w:rsidRPr="00245623">
        <w:rPr>
          <w:lang w:val="en-US"/>
        </w:rPr>
        <w:t>tCr</w:t>
      </w:r>
      <w:proofErr w:type="spellEnd"/>
      <w:r w:rsidR="008B1EB4" w:rsidRPr="00245623">
        <w:rPr>
          <w:lang w:val="en-US"/>
        </w:rPr>
        <w:t xml:space="preserve"> diffusion as a suitable marker of cell damage in </w:t>
      </w:r>
      <w:r w:rsidR="00992D4D" w:rsidRPr="00245623">
        <w:rPr>
          <w:lang w:val="en-US"/>
        </w:rPr>
        <w:t>this</w:t>
      </w:r>
      <w:r w:rsidR="008B1EB4" w:rsidRPr="00245623">
        <w:rPr>
          <w:lang w:val="en-US"/>
        </w:rPr>
        <w:t xml:space="preserve"> mouse model.</w:t>
      </w:r>
    </w:p>
    <w:p w14:paraId="0DA8D01F" w14:textId="77777777" w:rsidR="00C76753" w:rsidRPr="00245623" w:rsidRDefault="00C76753" w:rsidP="0040637F">
      <w:pPr>
        <w:spacing w:line="480" w:lineRule="auto"/>
        <w:jc w:val="both"/>
        <w:rPr>
          <w:b/>
          <w:lang w:val="en-US"/>
        </w:rPr>
      </w:pPr>
    </w:p>
    <w:p w14:paraId="2044E2BF" w14:textId="29C4BCB6" w:rsidR="00BE3655" w:rsidRPr="00245623" w:rsidRDefault="006B5E60" w:rsidP="0040637F">
      <w:pPr>
        <w:spacing w:line="480" w:lineRule="auto"/>
        <w:jc w:val="both"/>
        <w:rPr>
          <w:b/>
          <w:lang w:val="en-US"/>
        </w:rPr>
      </w:pPr>
      <w:r w:rsidRPr="00245623">
        <w:rPr>
          <w:b/>
          <w:lang w:val="en-US"/>
        </w:rPr>
        <w:t xml:space="preserve">4.2 </w:t>
      </w:r>
      <w:r w:rsidR="00C76753" w:rsidRPr="00245623">
        <w:rPr>
          <w:b/>
          <w:lang w:val="en-US"/>
        </w:rPr>
        <w:t>Metabolite concentrations are not specific markers of inflammation</w:t>
      </w:r>
      <w:r w:rsidR="00562E4D" w:rsidRPr="00245623">
        <w:rPr>
          <w:b/>
          <w:lang w:val="en-US"/>
        </w:rPr>
        <w:t xml:space="preserve"> in CPZ mice</w:t>
      </w:r>
    </w:p>
    <w:p w14:paraId="7CFBE2CB" w14:textId="069AE5ED" w:rsidR="008F5A05" w:rsidRPr="00245623" w:rsidRDefault="00A31E66" w:rsidP="008F5A05">
      <w:pPr>
        <w:spacing w:line="480" w:lineRule="auto"/>
        <w:jc w:val="both"/>
        <w:rPr>
          <w:rFonts w:eastAsia="WenQuanYi Micro Hei"/>
          <w:color w:val="000000"/>
          <w:lang w:val="en-US" w:eastAsia="zh-CN"/>
        </w:rPr>
      </w:pPr>
      <w:r w:rsidRPr="00245623">
        <w:rPr>
          <w:lang w:val="en-US"/>
        </w:rPr>
        <w:t>We measured significant</w:t>
      </w:r>
      <w:r w:rsidR="00D110F8" w:rsidRPr="00245623">
        <w:rPr>
          <w:lang w:val="en-US"/>
        </w:rPr>
        <w:t>ly</w:t>
      </w:r>
      <w:r w:rsidRPr="00245623">
        <w:rPr>
          <w:lang w:val="en-US"/>
        </w:rPr>
        <w:t xml:space="preserve"> lower </w:t>
      </w:r>
      <w:proofErr w:type="spellStart"/>
      <w:r w:rsidRPr="00245623">
        <w:rPr>
          <w:lang w:val="en-US"/>
        </w:rPr>
        <w:t>tNAA</w:t>
      </w:r>
      <w:proofErr w:type="spellEnd"/>
      <w:r w:rsidR="00DF6F24" w:rsidRPr="00245623">
        <w:rPr>
          <w:lang w:val="en-US"/>
        </w:rPr>
        <w:t>/</w:t>
      </w:r>
      <w:proofErr w:type="spellStart"/>
      <w:r w:rsidR="00DF6F24" w:rsidRPr="00245623">
        <w:rPr>
          <w:lang w:val="en-US"/>
        </w:rPr>
        <w:t>tCr</w:t>
      </w:r>
      <w:proofErr w:type="spellEnd"/>
      <w:r w:rsidR="007874C3" w:rsidRPr="00245623">
        <w:rPr>
          <w:lang w:val="en-US"/>
        </w:rPr>
        <w:t>,</w:t>
      </w:r>
      <w:r w:rsidRPr="00245623">
        <w:rPr>
          <w:lang w:val="en-US"/>
        </w:rPr>
        <w:t xml:space="preserve"> </w:t>
      </w:r>
      <w:proofErr w:type="spellStart"/>
      <w:r w:rsidR="00C4572B" w:rsidRPr="00245623">
        <w:rPr>
          <w:lang w:val="en-US"/>
        </w:rPr>
        <w:t>tCho</w:t>
      </w:r>
      <w:proofErr w:type="spellEnd"/>
      <w:r w:rsidR="00DF6F24" w:rsidRPr="00245623">
        <w:rPr>
          <w:lang w:val="en-US"/>
        </w:rPr>
        <w:t>/</w:t>
      </w:r>
      <w:proofErr w:type="spellStart"/>
      <w:r w:rsidR="00DF6F24" w:rsidRPr="00245623">
        <w:rPr>
          <w:lang w:val="en-US"/>
        </w:rPr>
        <w:t>tCr</w:t>
      </w:r>
      <w:proofErr w:type="spellEnd"/>
      <w:r w:rsidR="00C4572B" w:rsidRPr="00245623">
        <w:rPr>
          <w:lang w:val="en-US"/>
        </w:rPr>
        <w:t xml:space="preserve"> </w:t>
      </w:r>
      <w:r w:rsidR="007874C3" w:rsidRPr="00245623">
        <w:rPr>
          <w:lang w:val="en-US"/>
        </w:rPr>
        <w:t xml:space="preserve">and </w:t>
      </w:r>
      <w:proofErr w:type="spellStart"/>
      <w:r w:rsidR="007874C3" w:rsidRPr="00245623">
        <w:rPr>
          <w:lang w:val="en-US"/>
        </w:rPr>
        <w:t>Glu</w:t>
      </w:r>
      <w:proofErr w:type="spellEnd"/>
      <w:r w:rsidR="007874C3" w:rsidRPr="00245623">
        <w:rPr>
          <w:lang w:val="en-US"/>
        </w:rPr>
        <w:t>/</w:t>
      </w:r>
      <w:proofErr w:type="spellStart"/>
      <w:r w:rsidR="007874C3" w:rsidRPr="00245623">
        <w:rPr>
          <w:lang w:val="en-US"/>
        </w:rPr>
        <w:t>tCr</w:t>
      </w:r>
      <w:proofErr w:type="spellEnd"/>
      <w:r w:rsidR="007874C3" w:rsidRPr="00245623">
        <w:rPr>
          <w:lang w:val="en-US"/>
        </w:rPr>
        <w:t xml:space="preserve"> and significantly higher Tau/</w:t>
      </w:r>
      <w:proofErr w:type="spellStart"/>
      <w:r w:rsidR="007874C3" w:rsidRPr="00245623">
        <w:rPr>
          <w:lang w:val="en-US"/>
        </w:rPr>
        <w:t>tCr</w:t>
      </w:r>
      <w:proofErr w:type="spellEnd"/>
      <w:r w:rsidR="007874C3" w:rsidRPr="00245623">
        <w:rPr>
          <w:lang w:val="en-US"/>
        </w:rPr>
        <w:t xml:space="preserve"> </w:t>
      </w:r>
      <w:r w:rsidR="00C4572B" w:rsidRPr="00245623">
        <w:rPr>
          <w:lang w:val="en-US"/>
        </w:rPr>
        <w:t xml:space="preserve">in </w:t>
      </w:r>
      <w:r w:rsidR="0012448C" w:rsidRPr="00245623">
        <w:rPr>
          <w:lang w:val="en-US"/>
        </w:rPr>
        <w:t xml:space="preserve">CPZ vs. control mice, while no significant differences were observed in </w:t>
      </w:r>
      <w:proofErr w:type="spellStart"/>
      <w:r w:rsidR="0012448C" w:rsidRPr="00245623">
        <w:rPr>
          <w:lang w:val="en-US"/>
        </w:rPr>
        <w:t>mIns</w:t>
      </w:r>
      <w:proofErr w:type="spellEnd"/>
      <w:r w:rsidR="007874C3" w:rsidRPr="00245623">
        <w:rPr>
          <w:lang w:val="en-US"/>
        </w:rPr>
        <w:t>/</w:t>
      </w:r>
      <w:proofErr w:type="spellStart"/>
      <w:r w:rsidR="007874C3" w:rsidRPr="00245623">
        <w:rPr>
          <w:lang w:val="en-US"/>
        </w:rPr>
        <w:t>tCr</w:t>
      </w:r>
      <w:proofErr w:type="spellEnd"/>
      <w:r w:rsidR="0012448C" w:rsidRPr="00245623">
        <w:rPr>
          <w:lang w:val="en-US"/>
        </w:rPr>
        <w:t xml:space="preserve"> concentration</w:t>
      </w:r>
      <w:r w:rsidR="007874C3" w:rsidRPr="00245623">
        <w:rPr>
          <w:lang w:val="en-US"/>
        </w:rPr>
        <w:t>s</w:t>
      </w:r>
      <w:r w:rsidR="0012448C" w:rsidRPr="00245623">
        <w:rPr>
          <w:lang w:val="en-US"/>
        </w:rPr>
        <w:t xml:space="preserve"> between groups.</w:t>
      </w:r>
      <w:r w:rsidRPr="00245623">
        <w:rPr>
          <w:lang w:val="en-US"/>
        </w:rPr>
        <w:t xml:space="preserve"> </w:t>
      </w:r>
      <w:r w:rsidR="0012448C" w:rsidRPr="00245623">
        <w:rPr>
          <w:lang w:val="en-US"/>
        </w:rPr>
        <w:t xml:space="preserve">These results </w:t>
      </w:r>
      <w:r w:rsidR="007874C3" w:rsidRPr="00245623">
        <w:rPr>
          <w:lang w:val="en-US"/>
        </w:rPr>
        <w:t xml:space="preserve">were </w:t>
      </w:r>
      <w:r w:rsidR="0012448C" w:rsidRPr="00245623">
        <w:rPr>
          <w:lang w:val="en-US"/>
        </w:rPr>
        <w:t>in</w:t>
      </w:r>
      <w:r w:rsidR="00714946" w:rsidRPr="00245623">
        <w:rPr>
          <w:lang w:val="en-US"/>
        </w:rPr>
        <w:t xml:space="preserve"> excellent</w:t>
      </w:r>
      <w:r w:rsidR="0012448C" w:rsidRPr="00245623">
        <w:rPr>
          <w:lang w:val="en-US"/>
        </w:rPr>
        <w:t xml:space="preserve"> agre</w:t>
      </w:r>
      <w:r w:rsidR="00E71155" w:rsidRPr="00245623">
        <w:rPr>
          <w:lang w:val="en-US"/>
        </w:rPr>
        <w:t>e</w:t>
      </w:r>
      <w:r w:rsidR="0012448C" w:rsidRPr="00245623">
        <w:rPr>
          <w:lang w:val="en-US"/>
        </w:rPr>
        <w:t xml:space="preserve">ment with a previous MRS study conducted under similar experimental conditions as </w:t>
      </w:r>
      <w:r w:rsidR="00EC3749" w:rsidRPr="00245623">
        <w:rPr>
          <w:lang w:val="en-US"/>
        </w:rPr>
        <w:t xml:space="preserve">in </w:t>
      </w:r>
      <w:r w:rsidR="0012448C" w:rsidRPr="00245623">
        <w:rPr>
          <w:lang w:val="en-US"/>
        </w:rPr>
        <w:t>our</w:t>
      </w:r>
      <w:r w:rsidR="00446740" w:rsidRPr="00245623">
        <w:rPr>
          <w:lang w:val="en-US"/>
        </w:rPr>
        <w:t xml:space="preserve"> study</w:t>
      </w:r>
      <w:r w:rsidR="005B0A47"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{"citationID":"qC31lczm","properties":{"formattedCitation":"\\super 8\\nosupersub{}","plainCitation":"8","noteIndex":0},"citationItems":[{"id":560,"uris":["http://zotero.org/users/local/JiswOD7j/items/YHDYWV9T"],"uri":["http://zotero.org/users/local/JiswOD7j/items/YHDYWV9T"],"itemData":{"id":560,"type":"article-journal","abstract":"Non-invasive measures of well-known pathological hallmarks of multiple sclerosis (MS) such as demyelination, inﬂammation and axonal injury would serve as useful markers to monitor disease progression and evaluate potential therapies. To this end, in vivo localized proton magnetic resonance spectroscopy (1H-MRS) provides a powerful means to monitor metabolic changes in the brain and may be sensitive to these pathological hallmarks. In our study, we used the cuprizone mouse model to study pathological features of MS, such as inﬂammation, deand remyelination, in a highly reproducible manner. C57BL/6J mice were challenged with a 0.2% cuprizone diet for 6-weeks to induce demyelination, thereafter the mice were put on a cuprizone free diet for another 6 weeks to induce spontaneous remyelination. We employed in vivo 1H-MRS to longitudinally monitor metabolic changes in the corpus callosum of cuprizone-fed mice during the demyelination (weeks 4 and 6) and spontaneous remyelination (week 12) phases. The MRS spectra were quantiﬁed with LCModel and since the total creatine (tCr) levels did not change over time or between groups, metabolite concentrations were expressed as ratios relative to tCr. After 4 and 6 weeks of cuprizone treatment a signiﬁcant increase in taurine/tCr and a signiﬁcant reduction in total N-acetylaspartate/tCr, total choline-containing compounds/tCr and glutamate/tCr could be observed compared to mice under normal diet. At week 12, when almost full remyelination was established, no statistically signiﬁcant metabolic differences were present between the control and cuprizone group. Our results suggest that these metabolic changes may represent sensitive markers for cuprizone induced demyelination, axonal injury and inﬂammation. To the best of our knowledge, this is the ﬁrst longitudinal in vivo 1H-MRS study that monitored biochemical changes in the corpus callosum of cuprizone fed mice.","container-title":"NeuroImage","DOI":"10.1016/j.neuroimage.2015.04.012","ISSN":"10538119","journalAbbreviation":"NeuroImage","language":"en","page":"128-135","source":"DOI.org (Crossref)","title":"Longitudinal monitoring of metabolic alterations in cuprizone mouse model of multiple sclerosis using 1H-magnetic resonance spectroscopy","volume":"114","author":[{"family":"Orije","given":"Jasmien"},{"family":"Kara","given":"Firat"},{"family":"Guglielmetti","given":"Caroline"},{"family":"Praet","given":"Jelle"},{"family":"Van der Linden","given":"Annemie"},{"family":"Ponsaerts","given":"Peter"},{"family":"Verhoye","given":"Marleen"}],"issued":{"date-parts":[["2015",7]]}}}],"schema":"https://github.com/citation-style-language/schema/raw/master/csl-citation.json"} </w:instrText>
      </w:r>
      <w:r w:rsidR="00BA76C6" w:rsidRPr="00245623">
        <w:rPr>
          <w:lang w:val="en-US"/>
        </w:rPr>
        <w:fldChar w:fldCharType="separate"/>
      </w:r>
      <w:r w:rsidR="00AC7306" w:rsidRPr="00245623">
        <w:rPr>
          <w:vertAlign w:val="superscript"/>
          <w:lang w:val="en-US"/>
        </w:rPr>
        <w:t>8</w:t>
      </w:r>
      <w:r w:rsidR="00BA76C6" w:rsidRPr="00245623">
        <w:rPr>
          <w:lang w:val="en-US"/>
        </w:rPr>
        <w:fldChar w:fldCharType="end"/>
      </w:r>
      <w:r w:rsidR="0012448C" w:rsidRPr="00245623">
        <w:rPr>
          <w:lang w:val="en-US"/>
        </w:rPr>
        <w:t>.</w:t>
      </w:r>
      <w:r w:rsidR="00446740" w:rsidRPr="00245623">
        <w:rPr>
          <w:lang w:val="en-US"/>
        </w:rPr>
        <w:t xml:space="preserve"> </w:t>
      </w:r>
      <w:r w:rsidR="00EE0BBB" w:rsidRPr="00245623">
        <w:rPr>
          <w:lang w:val="en-US"/>
        </w:rPr>
        <w:t xml:space="preserve">Lower </w:t>
      </w:r>
      <w:proofErr w:type="spellStart"/>
      <w:r w:rsidR="00EE0BBB" w:rsidRPr="00245623">
        <w:rPr>
          <w:lang w:val="en-US"/>
        </w:rPr>
        <w:t>tNAA</w:t>
      </w:r>
      <w:proofErr w:type="spellEnd"/>
      <w:r w:rsidR="00EE0BBB" w:rsidRPr="00245623">
        <w:rPr>
          <w:lang w:val="en-US"/>
        </w:rPr>
        <w:t>/</w:t>
      </w:r>
      <w:proofErr w:type="spellStart"/>
      <w:r w:rsidR="00EE0BBB" w:rsidRPr="00245623">
        <w:rPr>
          <w:lang w:val="en-US"/>
        </w:rPr>
        <w:t>tCr</w:t>
      </w:r>
      <w:proofErr w:type="spellEnd"/>
      <w:r w:rsidR="00EE0BBB" w:rsidRPr="00245623">
        <w:rPr>
          <w:lang w:val="en-US"/>
        </w:rPr>
        <w:t xml:space="preserve"> </w:t>
      </w:r>
      <w:r w:rsidR="007874C3" w:rsidRPr="00245623">
        <w:rPr>
          <w:lang w:val="en-US"/>
        </w:rPr>
        <w:t xml:space="preserve">and </w:t>
      </w:r>
      <w:proofErr w:type="spellStart"/>
      <w:r w:rsidR="007874C3" w:rsidRPr="00245623">
        <w:rPr>
          <w:lang w:val="en-US"/>
        </w:rPr>
        <w:t>Glu</w:t>
      </w:r>
      <w:proofErr w:type="spellEnd"/>
      <w:r w:rsidR="007874C3" w:rsidRPr="00245623">
        <w:rPr>
          <w:lang w:val="en-US"/>
        </w:rPr>
        <w:t>/</w:t>
      </w:r>
      <w:proofErr w:type="spellStart"/>
      <w:r w:rsidR="007874C3" w:rsidRPr="00245623">
        <w:rPr>
          <w:lang w:val="en-US"/>
        </w:rPr>
        <w:t>tCr</w:t>
      </w:r>
      <w:proofErr w:type="spellEnd"/>
      <w:r w:rsidR="007874C3" w:rsidRPr="00245623">
        <w:rPr>
          <w:lang w:val="en-US"/>
        </w:rPr>
        <w:t xml:space="preserve"> </w:t>
      </w:r>
      <w:r w:rsidR="00EE0BBB" w:rsidRPr="00245623">
        <w:rPr>
          <w:lang w:val="en-US"/>
        </w:rPr>
        <w:t xml:space="preserve">levels may be attributed to reversible axonal </w:t>
      </w:r>
      <w:r w:rsidR="008450BF" w:rsidRPr="00245623">
        <w:rPr>
          <w:lang w:val="en-US"/>
        </w:rPr>
        <w:t>suffer</w:t>
      </w:r>
      <w:r w:rsidR="00D110F8" w:rsidRPr="00245623">
        <w:rPr>
          <w:lang w:val="en-US"/>
        </w:rPr>
        <w:t>ing</w:t>
      </w:r>
      <w:r w:rsidR="00DB0BFC" w:rsidRPr="00245623">
        <w:rPr>
          <w:lang w:val="en-US"/>
        </w:rPr>
        <w:t xml:space="preserve"> </w:t>
      </w:r>
      <w:r w:rsidR="00C26FC8" w:rsidRPr="00245623">
        <w:rPr>
          <w:lang w:val="en-US"/>
        </w:rPr>
        <w:t xml:space="preserve">caused by demyelination </w:t>
      </w:r>
      <w:r w:rsidR="00DB0BFC" w:rsidRPr="00245623">
        <w:rPr>
          <w:lang w:val="en-US"/>
        </w:rPr>
        <w:t xml:space="preserve">or </w:t>
      </w:r>
      <w:r w:rsidR="00D90976" w:rsidRPr="00245623">
        <w:rPr>
          <w:lang w:val="en-US"/>
        </w:rPr>
        <w:t xml:space="preserve">mitochondrial </w:t>
      </w:r>
      <w:r w:rsidR="00DB0BFC" w:rsidRPr="00245623">
        <w:rPr>
          <w:lang w:val="en-US"/>
        </w:rPr>
        <w:t>dysfunction</w:t>
      </w:r>
      <w:r w:rsidR="00817DF3" w:rsidRPr="00245623">
        <w:rPr>
          <w:lang w:val="en-US"/>
        </w:rPr>
        <w:t xml:space="preserve"> induced by </w:t>
      </w:r>
      <w:r w:rsidR="00D90976" w:rsidRPr="00245623">
        <w:rPr>
          <w:lang w:val="en-US"/>
        </w:rPr>
        <w:t xml:space="preserve">the </w:t>
      </w:r>
      <w:r w:rsidR="00817DF3" w:rsidRPr="00245623">
        <w:rPr>
          <w:lang w:val="en-US"/>
        </w:rPr>
        <w:t>CPZ diet</w:t>
      </w:r>
      <w:r w:rsidR="00DB0BFC" w:rsidRPr="00245623">
        <w:rPr>
          <w:lang w:val="en-US"/>
        </w:rPr>
        <w:t xml:space="preserve">. In contrast, the results </w:t>
      </w:r>
      <w:r w:rsidR="005D6EF8" w:rsidRPr="00245623">
        <w:rPr>
          <w:lang w:val="en-US"/>
        </w:rPr>
        <w:t>obtained for</w:t>
      </w:r>
      <w:r w:rsidR="00DB0BFC" w:rsidRPr="00245623">
        <w:rPr>
          <w:lang w:val="en-US"/>
        </w:rPr>
        <w:t xml:space="preserve"> </w:t>
      </w:r>
      <w:r w:rsidR="005D6EF8" w:rsidRPr="00245623">
        <w:rPr>
          <w:lang w:val="en-US"/>
        </w:rPr>
        <w:t xml:space="preserve">the </w:t>
      </w:r>
      <w:r w:rsidR="00DB0BFC" w:rsidRPr="00245623">
        <w:rPr>
          <w:lang w:val="en-US"/>
        </w:rPr>
        <w:t>glial metabolite concentration</w:t>
      </w:r>
      <w:r w:rsidR="00FC36C0" w:rsidRPr="00245623">
        <w:rPr>
          <w:lang w:val="en-US"/>
        </w:rPr>
        <w:t>s</w:t>
      </w:r>
      <w:r w:rsidR="00DB0BFC" w:rsidRPr="00245623">
        <w:rPr>
          <w:lang w:val="en-US"/>
        </w:rPr>
        <w:t xml:space="preserve"> are difficult </w:t>
      </w:r>
      <w:r w:rsidR="00BD64B8" w:rsidRPr="00245623">
        <w:rPr>
          <w:lang w:val="en-US"/>
        </w:rPr>
        <w:t xml:space="preserve">to </w:t>
      </w:r>
      <w:r w:rsidR="00DB0BFC" w:rsidRPr="00245623">
        <w:rPr>
          <w:lang w:val="en-US"/>
        </w:rPr>
        <w:t xml:space="preserve">interpret and </w:t>
      </w:r>
      <w:r w:rsidR="003703A6" w:rsidRPr="00245623">
        <w:rPr>
          <w:lang w:val="en-US"/>
        </w:rPr>
        <w:t>c</w:t>
      </w:r>
      <w:r w:rsidR="000E0063" w:rsidRPr="00245623">
        <w:rPr>
          <w:lang w:val="en-US"/>
        </w:rPr>
        <w:t>annot</w:t>
      </w:r>
      <w:r w:rsidR="00DB0BFC" w:rsidRPr="00245623">
        <w:rPr>
          <w:lang w:val="en-US"/>
        </w:rPr>
        <w:t xml:space="preserve"> be directly linked to ongoing inflammation.</w:t>
      </w:r>
      <w:r w:rsidR="00037512" w:rsidRPr="00245623">
        <w:rPr>
          <w:lang w:val="en-US"/>
        </w:rPr>
        <w:t xml:space="preserve"> </w:t>
      </w:r>
      <w:r w:rsidR="00E71155" w:rsidRPr="00245623">
        <w:rPr>
          <w:lang w:val="en-US"/>
        </w:rPr>
        <w:t xml:space="preserve">Although inflammation is known to be associated with glial cell proliferation, which should </w:t>
      </w:r>
      <w:r w:rsidR="00D030F2" w:rsidRPr="00245623">
        <w:rPr>
          <w:lang w:val="en-US"/>
        </w:rPr>
        <w:t xml:space="preserve">potentially </w:t>
      </w:r>
      <w:r w:rsidR="002F04DB" w:rsidRPr="00245623">
        <w:rPr>
          <w:lang w:val="en-US"/>
        </w:rPr>
        <w:t>induce</w:t>
      </w:r>
      <w:r w:rsidR="00E71155" w:rsidRPr="00245623">
        <w:rPr>
          <w:lang w:val="en-US"/>
        </w:rPr>
        <w:t xml:space="preserve"> an increase of </w:t>
      </w:r>
      <w:r w:rsidR="008450BF" w:rsidRPr="00245623">
        <w:rPr>
          <w:lang w:val="en-US"/>
        </w:rPr>
        <w:t xml:space="preserve">both </w:t>
      </w:r>
      <w:proofErr w:type="spellStart"/>
      <w:r w:rsidR="00E71155" w:rsidRPr="00245623">
        <w:rPr>
          <w:lang w:val="en-US"/>
        </w:rPr>
        <w:t>tCho</w:t>
      </w:r>
      <w:proofErr w:type="spellEnd"/>
      <w:r w:rsidR="008450BF" w:rsidRPr="00245623">
        <w:rPr>
          <w:lang w:val="en-US"/>
        </w:rPr>
        <w:t xml:space="preserve"> and </w:t>
      </w:r>
      <w:proofErr w:type="spellStart"/>
      <w:r w:rsidR="008450BF" w:rsidRPr="00245623">
        <w:rPr>
          <w:lang w:val="en-US"/>
        </w:rPr>
        <w:t>mIns</w:t>
      </w:r>
      <w:proofErr w:type="spellEnd"/>
      <w:r w:rsidR="00E71155" w:rsidRPr="00245623">
        <w:rPr>
          <w:lang w:val="en-US"/>
        </w:rPr>
        <w:t xml:space="preserve"> levels, p</w:t>
      </w:r>
      <w:r w:rsidR="00037512" w:rsidRPr="00245623">
        <w:rPr>
          <w:lang w:val="en-US"/>
        </w:rPr>
        <w:t xml:space="preserve">revious </w:t>
      </w:r>
      <w:r w:rsidR="00E71155" w:rsidRPr="00245623">
        <w:rPr>
          <w:lang w:val="en-US"/>
        </w:rPr>
        <w:t>MRS studies conducted</w:t>
      </w:r>
      <w:r w:rsidR="00037512" w:rsidRPr="00245623">
        <w:rPr>
          <w:lang w:val="en-US"/>
        </w:rPr>
        <w:t xml:space="preserve"> in </w:t>
      </w:r>
      <w:r w:rsidR="00E71155" w:rsidRPr="00245623">
        <w:rPr>
          <w:lang w:val="en-US"/>
        </w:rPr>
        <w:t xml:space="preserve">patients with </w:t>
      </w:r>
      <w:r w:rsidR="00FE4AF0" w:rsidRPr="00245623">
        <w:rPr>
          <w:lang w:val="en-US"/>
        </w:rPr>
        <w:t xml:space="preserve">MS are controversial, showing elevated, reduced or unchanged </w:t>
      </w:r>
      <w:proofErr w:type="spellStart"/>
      <w:r w:rsidR="00E71155" w:rsidRPr="00245623">
        <w:rPr>
          <w:lang w:val="en-US"/>
        </w:rPr>
        <w:t>tCho</w:t>
      </w:r>
      <w:proofErr w:type="spellEnd"/>
      <w:r w:rsidR="00E71155" w:rsidRPr="00245623">
        <w:rPr>
          <w:lang w:val="en-US"/>
        </w:rPr>
        <w:t xml:space="preserve"> </w:t>
      </w:r>
      <w:r w:rsidR="00FE4AF0" w:rsidRPr="00245623">
        <w:rPr>
          <w:lang w:val="en-US"/>
        </w:rPr>
        <w:t xml:space="preserve">levels </w:t>
      </w:r>
      <w:r w:rsidR="00BA76C6" w:rsidRPr="00245623">
        <w:rPr>
          <w:lang w:val="en-US"/>
        </w:rPr>
        <w:fldChar w:fldCharType="begin"/>
      </w:r>
      <w:r w:rsidR="00AC7306" w:rsidRPr="00245623">
        <w:rPr>
          <w:lang w:val="en-US"/>
        </w:rPr>
        <w:instrText xml:space="preserve"> ADDIN ZOTERO_ITEM CSL_CITATION {"citationID":"CB9vAWNg","properties":{"formattedCitation":"\\super 41\\uc0\\u8211{}43\\nosupersub{}","plainCitation":"41–43","noteIndex":0},"citationItems":[{"id":615,"uris":["http://zotero.org/users/local/JiswOD7j/items/9ESCQ7TS"],"uri":["http://zotero.org/users/local/JiswOD7j/items/9ESCQ7TS"],"itemData":{"id":615,"type":"article-journal","abstract":"BACKGROUND AND PURPOSE: Spectroscopic studies (1H-MR spectroscopy) of normal-appearing white matter (NAWM) in patients with multiple sclerosis (MS) with MR imaging brain lesions have already been performed, but our intention was to investigate NAWM in MS patients who lack brain lesions to elucidate whether the same pathologic changes could be identified. MATERIALS AND METHODS: We checked 350 medical files of patients with MS who are registered in our institution. Fourteen patients (11 women and 3 men; mean age, 48.6 years; handicap score, Expanded Disability Status Scale [EDSS] 2.9; range, 1– 6.5) with clinically definite MS and a normal MR imaging of the brain were included. 1H-MR spectroscopy was performed in 4 voxels (size approximately 17 ϫ 17 ϫ 17 mm3) using absolute quantification of metabolite concentrations. Fourteen healthy control subjects (11 women and 3 men; mean age, 43.3 years) were analyzed in the same way.\nRESULTS: Significant differences in absolute metabolite concentrations were observed, with the patients with MS showing a lower total concentration of N-acetyl compounds (tNA), including Nacetylaspartate and N-acetyl aspartylglutamate (13.5 mmol/L versus 14.6 mmol/L; P ϭ .002) compared with the healthy control subjects. Unexpectedly, patients with MS presented significantly lower choline-containing compounds (Cho) compared with healthy control subjects (2.2 mmol/L versus 2.4 mmol/L; P Ͻ .001). The EDSS showed a positive correlation to myo-inositol concentrations (0.14 mmol/L per EDSS; r2 ϭ 0.06) and a negative correlation to tNA concentrations (Ϫ0.41 mmol/L per EDSS; r2 ϭ 0.22).\nCONCLUSION: The unexpected finding of lower Cho concentrations has not been reported previously. We suggest that patients with MS who lack lesions in the brain constitute a separate entity and may have increased protective or healing abilities.","container-title":"American Journal of Neuroradiology","DOI":"10.3174/ajnr.A0580","ISSN":"0195-6108, 1936-959X","issue":"7","journalAbbreviation":"American Journal of Neuroradiology","language":"en","page":"1306-1312","source":"DOI.org (Crossref)","title":"Low Choline Concentrations in Normal-Appearing White Matter of Patients with Multiple Sclerosis and Normal MR Imaging Brain Scans","volume":"28","author":[{"family":"Gustafsson","given":"M.C."},{"family":"Dahlqvist","given":"O."},{"family":"Jaworski","given":"J."},{"family":"Lundberg","given":"P."},{"family":"Landtblom","given":"A.-M.E."}],"issued":{"date-parts":[["2007",8,1]]}},"label":"page"},{"id":613,"uris":["http://zotero.org/users/local/JiswOD7j/items/WGXFDEY9"],"uri":["http://zotero.org/users/local/JiswOD7j/items/WGXFDEY9"],"itemData":{"id":613,"type":"article-journal","container-title":"Archives of Neurology","DOI":"10.1001/archneur.61.7.1081","ISSN":"0003-9942","issue":"7","journalAbbreviation":"Arch Neurol","language":"en","source":"DOI.org (Crossref)","title":"Corpus Callosum Axonal Injury in Multiple Sclerosis Measured by Proton Magnetic Resonance Spectroscopic Imaging","URL":"http://archneur.jamanetwork.com/article.aspx?doi=10.1001/archneur.61.7.1081","volume":"61","author":[{"family":"Oh","given":"Joonmi"},{"family":"Pelletier","given":"Daniel"},{"family":"Nelson","given":"Sarah J."}],"accessed":{"date-parts":[["2020",6,4]]},"issued":{"date-parts":[["2004",7,1]]}},"label":"page"},{"id":611,"uris":["http://zotero.org/users/local/JiswOD7j/items/WTPPD4XI"],"uri":["http://zotero.org/users/local/JiswOD7j/items/WTPPD4XI"],"itemData":{"id":611,"type":"article-journal","container-title":"Neuroimaging Clinics of North America","DOI":"10.1016/j.nic.2008.08.002","ISSN":"10525149","issue":"1","journalAbbreviation":"Neuroimaging Clinics of North America","language":"en","page":"45-58","source":"DOI.org (Crossref)","title":"Proton Magnetic Resonance Spectroscopy in Multiple Sclerosis","volume":"19","author":[{"family":"Sajja","given":"Balasrinivasa R."},{"family":"Wolinsky","given":"Jerry S."},{"family":"Narayana","given":"Ponnada A."}],"issued":{"date-parts":[["2009",2]]}},"label":"page"}],"schema":"https://github.com/citation-style-language/schema/raw/master/csl-citation.json"} </w:instrText>
      </w:r>
      <w:r w:rsidR="00BA76C6" w:rsidRPr="00245623">
        <w:rPr>
          <w:lang w:val="en-US"/>
        </w:rPr>
        <w:fldChar w:fldCharType="separate"/>
      </w:r>
      <w:r w:rsidR="00AC7306" w:rsidRPr="00245623">
        <w:rPr>
          <w:vertAlign w:val="superscript"/>
          <w:lang w:val="en-US"/>
        </w:rPr>
        <w:t>41–43</w:t>
      </w:r>
      <w:r w:rsidR="00BA76C6" w:rsidRPr="00245623">
        <w:rPr>
          <w:lang w:val="en-US"/>
        </w:rPr>
        <w:fldChar w:fldCharType="end"/>
      </w:r>
      <w:r w:rsidR="00FE4AF0" w:rsidRPr="00245623">
        <w:rPr>
          <w:lang w:val="en-US"/>
        </w:rPr>
        <w:t>.</w:t>
      </w:r>
      <w:r w:rsidR="00E71155" w:rsidRPr="00245623">
        <w:rPr>
          <w:lang w:val="en-US"/>
        </w:rPr>
        <w:t xml:space="preserve"> </w:t>
      </w:r>
      <w:r w:rsidR="0030692D" w:rsidRPr="00245623">
        <w:rPr>
          <w:lang w:val="en-US"/>
        </w:rPr>
        <w:t>The CPZ model is characterized by a failure in the energy metabolism due to mitochondrial dysfunction</w:t>
      </w:r>
      <w:r w:rsidR="006F5E00"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{"citationID":"nLbj9DDD","properties":{"formattedCitation":"\\super 21\\nosupersub{}","plainCitation":"21","noteIndex":0},"citationItems":[{"id":620,"uris":["http://zotero.org/users/local/JiswOD7j/items/8UY6EPQV"],"uri":["http://zotero.org/users/local/JiswOD7j/items/8UY6EPQV"],"itemData":{"id":620,"type":"article-journal","container-title":"Acta Neuropathologica","DOI":"10.1007/s00401-009-0591-3","ISSN":"0001-6322, 1432-0533","issue":"6","journalAbbreviation":"Acta Neuropathol","language":"en","page":"723-736","source":"DOI.org (Crossref)","title":"The cuprizone animal model: new insights into an old story","title-short":"The cuprizone animal model","volume":"118","author":[{"family":"Kipp","given":"Markus"},{"family":"Clarner","given":"Tim"},{"family":"Dang","given":"Jon"},{"family":"Copray","given":"Sjef"},{"family":"Beyer","given":"Cordian"}],"issued":{"date-parts":[["2009",12]]}}}],"schema":"https://github.com/citation-style-language/schema/raw/master/csl-citation.json"} </w:instrText>
      </w:r>
      <w:r w:rsidR="00BA76C6" w:rsidRPr="00245623">
        <w:rPr>
          <w:lang w:val="en-US"/>
        </w:rPr>
        <w:fldChar w:fldCharType="separate"/>
      </w:r>
      <w:r w:rsidR="00AC7306" w:rsidRPr="00245623">
        <w:rPr>
          <w:vertAlign w:val="superscript"/>
          <w:lang w:val="en-US"/>
        </w:rPr>
        <w:t>21</w:t>
      </w:r>
      <w:r w:rsidR="00BA76C6" w:rsidRPr="00245623">
        <w:rPr>
          <w:lang w:val="en-US"/>
        </w:rPr>
        <w:fldChar w:fldCharType="end"/>
      </w:r>
      <w:r w:rsidR="008450BF" w:rsidRPr="00245623">
        <w:rPr>
          <w:lang w:val="en-US"/>
        </w:rPr>
        <w:t xml:space="preserve">, which could be the cause of </w:t>
      </w:r>
      <w:proofErr w:type="spellStart"/>
      <w:r w:rsidR="008450BF" w:rsidRPr="00245623">
        <w:rPr>
          <w:lang w:val="en-US"/>
        </w:rPr>
        <w:t>tNAA</w:t>
      </w:r>
      <w:proofErr w:type="spellEnd"/>
      <w:r w:rsidR="005D6EF8" w:rsidRPr="00245623">
        <w:rPr>
          <w:lang w:val="en-US"/>
        </w:rPr>
        <w:t xml:space="preserve">, </w:t>
      </w:r>
      <w:proofErr w:type="spellStart"/>
      <w:r w:rsidR="005D6EF8" w:rsidRPr="00245623">
        <w:rPr>
          <w:lang w:val="en-US"/>
        </w:rPr>
        <w:t>Glu</w:t>
      </w:r>
      <w:proofErr w:type="spellEnd"/>
      <w:r w:rsidR="008450BF" w:rsidRPr="00245623">
        <w:rPr>
          <w:lang w:val="en-US"/>
        </w:rPr>
        <w:t xml:space="preserve"> and </w:t>
      </w:r>
      <w:proofErr w:type="spellStart"/>
      <w:r w:rsidR="008450BF" w:rsidRPr="00245623">
        <w:rPr>
          <w:lang w:val="en-US"/>
        </w:rPr>
        <w:t>tCho</w:t>
      </w:r>
      <w:proofErr w:type="spellEnd"/>
      <w:r w:rsidR="008450BF" w:rsidRPr="00245623">
        <w:rPr>
          <w:lang w:val="en-US"/>
        </w:rPr>
        <w:t xml:space="preserve"> reduced levels compared to </w:t>
      </w:r>
      <w:r w:rsidR="00E900EB" w:rsidRPr="00245623">
        <w:rPr>
          <w:lang w:val="en-US"/>
        </w:rPr>
        <w:t>control</w:t>
      </w:r>
      <w:r w:rsidR="008450BF" w:rsidRPr="00245623">
        <w:rPr>
          <w:lang w:val="en-US"/>
        </w:rPr>
        <w:t xml:space="preserve"> mice</w:t>
      </w:r>
      <w:r w:rsidR="0094133A" w:rsidRPr="00245623">
        <w:rPr>
          <w:lang w:val="en-US"/>
        </w:rPr>
        <w:t xml:space="preserve"> </w:t>
      </w:r>
      <w:r w:rsidR="00BA76C6" w:rsidRPr="00245623">
        <w:rPr>
          <w:lang w:val="en-US"/>
        </w:rPr>
        <w:fldChar w:fldCharType="begin"/>
      </w:r>
      <w:r w:rsidR="00AC7306" w:rsidRPr="00245623">
        <w:rPr>
          <w:lang w:val="en-US"/>
        </w:rPr>
        <w:instrText xml:space="preserve"> ADDIN ZOTERO_ITEM CSL_CITATION {"citationID":"RM3yOHS7","properties":{"formattedCitation":"\\super 44\\nosupersub{}","plainCitation":"44","noteIndex":0},"citationItems":[{"id":623,"uris":["http://zotero.org/users/local/JiswOD7j/items/ZDX668EB"],"uri":["http://zotero.org/users/local/JiswOD7j/items/ZDX668EB"],"itemData":{"id":623,"type":"article-journal","abstract":"BACKGROUND AND PURPOSE: Proton (hydrogen-1 [1H]) MR spectroscopy is a useful diagnostic tool in many metabolic diseases, but only scattered and inconclusive data are available on mitochondrial diseases. We performed MR imaging and 1H MR spectroscopy of the brain in patients with different types of primary mitochondrial diseases to investigate the role of 1H MR spectroscopy in the clinical evaluation of these disorders.\nMETHODS: In 15 patients (11 adults, four children) with mitochondrial diseases, localized MR spectra were obtained at short TEs in cerebellar white matter, paratrigonal white matter, and parieto-occipital cortex that appeared normal on MR images. Additional spectra of basal ganglia and cortical gray matter structural lesions were obtained in three patients.\nRESULTS: A significant choline reduction and N-acetylaspartate reduction were found in areas that appeared normal on MR images. Lactate was never found in areas that appeared normal on MR images, except in two children in whom MR studies were performed during episodes of symptom exacerbation and revealed elevated lactate both in areas that appeared damaged on MR images and in normal-appearing areas. An additional abnormal signal at 0.9 ppm was found in a consistent number of studies.\nCONCLUSION: 1H MR spectroscopy proved to be a useful investigational tool for mitochondrial diseases, as it enabled detection of metabolic abnormalities even in areas of brain that appeared normal on MR images, especially when it was performed during episodes of clinical relapses or clinical exacerbation.","container-title":"American Journal of Neuroradiology","language":"en","page":"1958-1966","source":"Zotero","title":"Proton MR Spectroscopy of Mitochondrial Diseases: Analysis of Brain Metabolic Abnormalities and Their Possible Diagnostic Relevance","volume":"24","author":[{"family":"Bianchi","given":"M Cristina"},{"family":"Tosetti","given":"Michela"},{"family":"Battini","given":"Roberta"},{"family":"Manca","given":"Maria L"},{"family":"Mancuso","given":"Michelangelo"},{"family":"Cioni","given":"Giovanni"},{"family":"Canapicchi","given":"Raffaello"},{"family":"Siciliano","given":"Gabriele"}],"issued":{"date-parts":[["2003"]]}}}],"schema":"https://github.com/citation-style-language/schema/raw/master/csl-citation.json"} </w:instrText>
      </w:r>
      <w:r w:rsidR="00BA76C6" w:rsidRPr="00245623">
        <w:rPr>
          <w:lang w:val="en-US"/>
        </w:rPr>
        <w:fldChar w:fldCharType="separate"/>
      </w:r>
      <w:r w:rsidR="00AC7306" w:rsidRPr="00245623">
        <w:rPr>
          <w:vertAlign w:val="superscript"/>
          <w:lang w:val="en-US"/>
        </w:rPr>
        <w:t>44</w:t>
      </w:r>
      <w:r w:rsidR="00BA76C6" w:rsidRPr="00245623">
        <w:rPr>
          <w:lang w:val="en-US"/>
        </w:rPr>
        <w:fldChar w:fldCharType="end"/>
      </w:r>
      <w:r w:rsidR="008450BF" w:rsidRPr="00245623">
        <w:rPr>
          <w:rFonts w:eastAsia="WenQuanYi Micro Hei"/>
          <w:color w:val="000000"/>
          <w:lang w:val="en-US" w:eastAsia="zh-CN"/>
        </w:rPr>
        <w:t xml:space="preserve">. </w:t>
      </w:r>
      <w:r w:rsidR="00FC36C0" w:rsidRPr="00245623">
        <w:rPr>
          <w:rFonts w:eastAsia="WenQuanYi Micro Hei"/>
          <w:color w:val="000000"/>
          <w:lang w:val="en-US" w:eastAsia="zh-CN"/>
        </w:rPr>
        <w:t>Instead, t</w:t>
      </w:r>
      <w:r w:rsidR="006E7002" w:rsidRPr="00245623">
        <w:rPr>
          <w:rFonts w:eastAsia="WenQuanYi Micro Hei"/>
          <w:color w:val="000000"/>
          <w:lang w:val="en-US" w:eastAsia="zh-CN"/>
        </w:rPr>
        <w:t xml:space="preserve">he lack of significant differences in </w:t>
      </w:r>
      <w:proofErr w:type="spellStart"/>
      <w:r w:rsidR="006E7002" w:rsidRPr="00245623">
        <w:rPr>
          <w:rFonts w:eastAsia="WenQuanYi Micro Hei"/>
          <w:color w:val="000000"/>
          <w:lang w:val="en-US" w:eastAsia="zh-CN"/>
        </w:rPr>
        <w:t>mIns</w:t>
      </w:r>
      <w:proofErr w:type="spellEnd"/>
      <w:r w:rsidR="006E7002" w:rsidRPr="00245623">
        <w:rPr>
          <w:rFonts w:eastAsia="WenQuanYi Micro Hei"/>
          <w:color w:val="000000"/>
          <w:lang w:val="en-US" w:eastAsia="zh-CN"/>
        </w:rPr>
        <w:t xml:space="preserve"> </w:t>
      </w:r>
      <w:r w:rsidR="008B7B01" w:rsidRPr="00245623">
        <w:rPr>
          <w:rFonts w:eastAsia="WenQuanYi Micro Hei"/>
          <w:color w:val="000000"/>
          <w:lang w:val="en-US" w:eastAsia="zh-CN"/>
        </w:rPr>
        <w:t xml:space="preserve">levels </w:t>
      </w:r>
      <w:r w:rsidR="006E7002" w:rsidRPr="00245623">
        <w:rPr>
          <w:rFonts w:eastAsia="WenQuanYi Micro Hei"/>
          <w:color w:val="000000"/>
          <w:lang w:val="en-US" w:eastAsia="zh-CN"/>
        </w:rPr>
        <w:t xml:space="preserve">between </w:t>
      </w:r>
      <w:r w:rsidR="00FB0B46" w:rsidRPr="00245623">
        <w:rPr>
          <w:rFonts w:eastAsia="WenQuanYi Micro Hei"/>
          <w:color w:val="000000"/>
          <w:lang w:val="en-US" w:eastAsia="zh-CN"/>
        </w:rPr>
        <w:t xml:space="preserve">the two mouse </w:t>
      </w:r>
      <w:r w:rsidR="006E7002" w:rsidRPr="00245623">
        <w:rPr>
          <w:rFonts w:eastAsia="WenQuanYi Micro Hei"/>
          <w:color w:val="000000"/>
          <w:lang w:val="en-US" w:eastAsia="zh-CN"/>
        </w:rPr>
        <w:t>groups</w:t>
      </w:r>
      <w:r w:rsidR="00D030F2" w:rsidRPr="00245623">
        <w:rPr>
          <w:rFonts w:eastAsia="WenQuanYi Micro Hei"/>
          <w:color w:val="000000"/>
          <w:lang w:val="en-US" w:eastAsia="zh-CN"/>
        </w:rPr>
        <w:t xml:space="preserve"> </w:t>
      </w:r>
      <w:r w:rsidR="003703A6" w:rsidRPr="00245623">
        <w:rPr>
          <w:rFonts w:eastAsia="WenQuanYi Micro Hei"/>
          <w:color w:val="000000"/>
          <w:lang w:val="en-US" w:eastAsia="zh-CN"/>
        </w:rPr>
        <w:t>was</w:t>
      </w:r>
      <w:r w:rsidR="00D030F2" w:rsidRPr="00245623">
        <w:rPr>
          <w:rFonts w:eastAsia="WenQuanYi Micro Hei"/>
          <w:color w:val="000000"/>
          <w:lang w:val="en-US" w:eastAsia="zh-CN"/>
        </w:rPr>
        <w:t xml:space="preserve"> </w:t>
      </w:r>
      <w:r w:rsidR="008E3455" w:rsidRPr="00245623">
        <w:rPr>
          <w:rFonts w:eastAsia="WenQuanYi Micro Hei"/>
          <w:color w:val="000000"/>
          <w:lang w:val="en-US" w:eastAsia="zh-CN"/>
        </w:rPr>
        <w:t xml:space="preserve">somehow </w:t>
      </w:r>
      <w:r w:rsidR="00D030F2" w:rsidRPr="00245623">
        <w:rPr>
          <w:rFonts w:eastAsia="WenQuanYi Micro Hei"/>
          <w:color w:val="000000"/>
          <w:lang w:val="en-US" w:eastAsia="zh-CN"/>
        </w:rPr>
        <w:t xml:space="preserve">surprising </w:t>
      </w:r>
      <w:r w:rsidR="008E3455" w:rsidRPr="00245623">
        <w:rPr>
          <w:rFonts w:eastAsia="WenQuanYi Micro Hei"/>
          <w:color w:val="000000"/>
          <w:lang w:val="en-US" w:eastAsia="zh-CN"/>
        </w:rPr>
        <w:t xml:space="preserve">given that astrogliosis is typically associated with elevated </w:t>
      </w:r>
      <w:proofErr w:type="spellStart"/>
      <w:r w:rsidR="008E3455" w:rsidRPr="00245623">
        <w:rPr>
          <w:rFonts w:eastAsia="WenQuanYi Micro Hei"/>
          <w:color w:val="000000"/>
          <w:lang w:val="en-US" w:eastAsia="zh-CN"/>
        </w:rPr>
        <w:t>mIns</w:t>
      </w:r>
      <w:proofErr w:type="spellEnd"/>
      <w:r w:rsidR="008E3455" w:rsidRPr="00245623">
        <w:rPr>
          <w:rFonts w:eastAsia="WenQuanYi Micro Hei"/>
          <w:color w:val="000000"/>
          <w:lang w:val="en-US" w:eastAsia="zh-CN"/>
        </w:rPr>
        <w:t xml:space="preserve"> concentrations. This finding</w:t>
      </w:r>
      <w:r w:rsidR="003703A6" w:rsidRPr="00245623">
        <w:rPr>
          <w:rFonts w:eastAsia="WenQuanYi Micro Hei"/>
          <w:color w:val="000000"/>
          <w:lang w:val="en-US" w:eastAsia="zh-CN"/>
        </w:rPr>
        <w:t xml:space="preserve"> </w:t>
      </w:r>
      <w:r w:rsidR="00FB0B46" w:rsidRPr="00245623">
        <w:rPr>
          <w:rFonts w:eastAsia="WenQuanYi Micro Hei"/>
          <w:color w:val="000000"/>
          <w:lang w:val="en-US" w:eastAsia="zh-CN"/>
        </w:rPr>
        <w:t>suggest</w:t>
      </w:r>
      <w:r w:rsidR="003703A6" w:rsidRPr="00245623">
        <w:rPr>
          <w:rFonts w:eastAsia="WenQuanYi Micro Hei"/>
          <w:color w:val="000000"/>
          <w:lang w:val="en-US" w:eastAsia="zh-CN"/>
        </w:rPr>
        <w:t>ed</w:t>
      </w:r>
      <w:r w:rsidR="00FB0B46" w:rsidRPr="00245623">
        <w:rPr>
          <w:rFonts w:eastAsia="WenQuanYi Micro Hei"/>
          <w:color w:val="000000"/>
          <w:lang w:val="en-US" w:eastAsia="zh-CN"/>
        </w:rPr>
        <w:t xml:space="preserve"> that </w:t>
      </w:r>
      <w:proofErr w:type="spellStart"/>
      <w:r w:rsidR="008B7B01" w:rsidRPr="00245623">
        <w:rPr>
          <w:rFonts w:eastAsia="WenQuanYi Micro Hei"/>
          <w:color w:val="000000"/>
          <w:lang w:val="en-US" w:eastAsia="zh-CN"/>
        </w:rPr>
        <w:t>mIns</w:t>
      </w:r>
      <w:proofErr w:type="spellEnd"/>
      <w:r w:rsidR="008B7B01" w:rsidRPr="00245623">
        <w:rPr>
          <w:rFonts w:eastAsia="WenQuanYi Micro Hei"/>
          <w:color w:val="000000"/>
          <w:lang w:val="en-US" w:eastAsia="zh-CN"/>
        </w:rPr>
        <w:t xml:space="preserve"> concentration</w:t>
      </w:r>
      <w:r w:rsidR="00FB0B46" w:rsidRPr="00245623">
        <w:rPr>
          <w:rFonts w:eastAsia="WenQuanYi Micro Hei"/>
          <w:color w:val="000000"/>
          <w:lang w:val="en-US" w:eastAsia="zh-CN"/>
        </w:rPr>
        <w:t xml:space="preserve"> </w:t>
      </w:r>
      <w:r w:rsidR="005D6EF8" w:rsidRPr="00245623">
        <w:rPr>
          <w:rFonts w:eastAsia="WenQuanYi Micro Hei"/>
          <w:color w:val="000000"/>
          <w:lang w:val="en-US" w:eastAsia="zh-CN"/>
        </w:rPr>
        <w:t>was</w:t>
      </w:r>
      <w:r w:rsidR="00FB0B46" w:rsidRPr="00245623">
        <w:rPr>
          <w:rFonts w:eastAsia="WenQuanYi Micro Hei"/>
          <w:color w:val="000000"/>
          <w:lang w:val="en-US" w:eastAsia="zh-CN"/>
        </w:rPr>
        <w:t xml:space="preserve"> not</w:t>
      </w:r>
      <w:r w:rsidR="003703A6" w:rsidRPr="00245623">
        <w:rPr>
          <w:rFonts w:eastAsia="WenQuanYi Micro Hei"/>
          <w:color w:val="000000"/>
          <w:lang w:val="en-US" w:eastAsia="zh-CN"/>
        </w:rPr>
        <w:t xml:space="preserve"> </w:t>
      </w:r>
      <w:r w:rsidR="00FB0B46" w:rsidRPr="00245623">
        <w:rPr>
          <w:rFonts w:eastAsia="WenQuanYi Micro Hei"/>
          <w:color w:val="000000"/>
          <w:lang w:val="en-US" w:eastAsia="zh-CN"/>
        </w:rPr>
        <w:t xml:space="preserve">a suitable marker of </w:t>
      </w:r>
      <w:r w:rsidR="008B7B01" w:rsidRPr="00245623">
        <w:rPr>
          <w:rFonts w:eastAsia="WenQuanYi Micro Hei"/>
          <w:color w:val="000000"/>
          <w:lang w:val="en-US" w:eastAsia="zh-CN"/>
        </w:rPr>
        <w:t>glial reactivity</w:t>
      </w:r>
      <w:r w:rsidR="005D6EF8" w:rsidRPr="00245623">
        <w:rPr>
          <w:rFonts w:eastAsia="WenQuanYi Micro Hei"/>
          <w:color w:val="000000"/>
          <w:lang w:val="en-US" w:eastAsia="zh-CN"/>
        </w:rPr>
        <w:t>,</w:t>
      </w:r>
      <w:r w:rsidR="00FB0B46" w:rsidRPr="00245623">
        <w:rPr>
          <w:rFonts w:eastAsia="WenQuanYi Micro Hei"/>
          <w:color w:val="000000"/>
          <w:lang w:val="en-US" w:eastAsia="zh-CN"/>
        </w:rPr>
        <w:t xml:space="preserve"> at least in this mouse model.</w:t>
      </w:r>
      <w:r w:rsidR="00E900EB" w:rsidRPr="00245623">
        <w:rPr>
          <w:rFonts w:eastAsia="WenQuanYi Micro Hei"/>
          <w:color w:val="000000"/>
          <w:lang w:val="en-US" w:eastAsia="zh-CN"/>
        </w:rPr>
        <w:t xml:space="preserve"> </w:t>
      </w:r>
    </w:p>
    <w:p w14:paraId="0DBB76AE" w14:textId="406C7520" w:rsidR="00DB0BFC" w:rsidRPr="00245623" w:rsidRDefault="00E900EB" w:rsidP="008F5A05">
      <w:pPr>
        <w:spacing w:line="480" w:lineRule="auto"/>
        <w:jc w:val="both"/>
        <w:rPr>
          <w:lang w:val="en-US"/>
        </w:rPr>
      </w:pPr>
      <w:r w:rsidRPr="00245623">
        <w:rPr>
          <w:rFonts w:eastAsia="WenQuanYi Micro Hei"/>
          <w:color w:val="000000"/>
          <w:lang w:val="en-US" w:eastAsia="zh-CN"/>
        </w:rPr>
        <w:t xml:space="preserve">Finally, the severe loss of oligodendroglial cells, corroborated by the </w:t>
      </w:r>
      <w:r w:rsidR="00FE70FC" w:rsidRPr="00245623">
        <w:rPr>
          <w:rFonts w:eastAsia="WenQuanYi Micro Hei"/>
          <w:color w:val="000000"/>
          <w:lang w:val="en-US" w:eastAsia="zh-CN"/>
        </w:rPr>
        <w:t xml:space="preserve">observed </w:t>
      </w:r>
      <w:r w:rsidRPr="00245623">
        <w:rPr>
          <w:rFonts w:eastAsia="WenQuanYi Micro Hei"/>
          <w:color w:val="000000"/>
          <w:lang w:val="en-US" w:eastAsia="zh-CN"/>
        </w:rPr>
        <w:t xml:space="preserve">lower </w:t>
      </w:r>
      <w:r w:rsidR="008B1A10" w:rsidRPr="00245623">
        <w:rPr>
          <w:rFonts w:eastAsia="WenQuanYi Micro Hei"/>
          <w:color w:val="000000"/>
          <w:lang w:val="en-US" w:eastAsia="zh-CN"/>
        </w:rPr>
        <w:t xml:space="preserve">CC1 </w:t>
      </w:r>
      <w:r w:rsidR="00E701D6" w:rsidRPr="00245623">
        <w:rPr>
          <w:rFonts w:eastAsia="WenQuanYi Micro Hei"/>
          <w:color w:val="000000"/>
          <w:lang w:val="en-US" w:eastAsia="zh-CN"/>
        </w:rPr>
        <w:t>immunodetection</w:t>
      </w:r>
      <w:r w:rsidR="008B1A10" w:rsidRPr="00245623">
        <w:rPr>
          <w:rFonts w:eastAsia="WenQuanYi Micro Hei"/>
          <w:color w:val="000000"/>
          <w:lang w:val="en-US" w:eastAsia="zh-CN"/>
        </w:rPr>
        <w:t xml:space="preserve"> in CPZ vs. control mice, </w:t>
      </w:r>
      <w:r w:rsidRPr="00245623">
        <w:rPr>
          <w:rFonts w:eastAsia="WenQuanYi Micro Hei"/>
          <w:color w:val="000000"/>
          <w:lang w:val="en-US" w:eastAsia="zh-CN"/>
        </w:rPr>
        <w:t>likely contribute</w:t>
      </w:r>
      <w:r w:rsidR="003703A6" w:rsidRPr="00245623">
        <w:rPr>
          <w:rFonts w:eastAsia="WenQuanYi Micro Hei"/>
          <w:color w:val="000000"/>
          <w:lang w:val="en-US" w:eastAsia="zh-CN"/>
        </w:rPr>
        <w:t>d</w:t>
      </w:r>
      <w:r w:rsidRPr="00245623">
        <w:rPr>
          <w:rFonts w:eastAsia="WenQuanYi Micro Hei"/>
          <w:color w:val="000000"/>
          <w:lang w:val="en-US" w:eastAsia="zh-CN"/>
        </w:rPr>
        <w:t xml:space="preserve"> to the </w:t>
      </w:r>
      <w:r w:rsidR="00FC36C0" w:rsidRPr="00245623">
        <w:rPr>
          <w:rFonts w:eastAsia="WenQuanYi Micro Hei"/>
          <w:color w:val="000000"/>
          <w:lang w:val="en-US" w:eastAsia="zh-CN"/>
        </w:rPr>
        <w:t>lower</w:t>
      </w:r>
      <w:r w:rsidRPr="00245623">
        <w:rPr>
          <w:rFonts w:eastAsia="WenQuanYi Micro Hei"/>
          <w:color w:val="000000"/>
          <w:lang w:val="en-US" w:eastAsia="zh-CN"/>
        </w:rPr>
        <w:t xml:space="preserve"> or unchanged concentration</w:t>
      </w:r>
      <w:r w:rsidR="00FC36C0" w:rsidRPr="00245623">
        <w:rPr>
          <w:rFonts w:eastAsia="WenQuanYi Micro Hei"/>
          <w:color w:val="000000"/>
          <w:lang w:val="en-US" w:eastAsia="zh-CN"/>
        </w:rPr>
        <w:t>s</w:t>
      </w:r>
      <w:r w:rsidRPr="00245623">
        <w:rPr>
          <w:rFonts w:eastAsia="WenQuanYi Micro Hei"/>
          <w:color w:val="000000"/>
          <w:lang w:val="en-US" w:eastAsia="zh-CN"/>
        </w:rPr>
        <w:t xml:space="preserve"> of both</w:t>
      </w:r>
      <w:r w:rsidR="008B1A10" w:rsidRPr="00245623">
        <w:rPr>
          <w:rFonts w:eastAsia="WenQuanYi Micro Hei"/>
          <w:color w:val="000000"/>
          <w:lang w:val="en-US" w:eastAsia="zh-CN"/>
        </w:rPr>
        <w:t xml:space="preserve"> </w:t>
      </w:r>
      <w:r w:rsidR="00FC36C0" w:rsidRPr="00245623">
        <w:rPr>
          <w:rFonts w:eastAsia="WenQuanYi Micro Hei"/>
          <w:color w:val="000000"/>
          <w:lang w:val="en-US" w:eastAsia="zh-CN"/>
        </w:rPr>
        <w:t xml:space="preserve">the </w:t>
      </w:r>
      <w:r w:rsidR="008B1A10" w:rsidRPr="00245623">
        <w:rPr>
          <w:rFonts w:eastAsia="WenQuanYi Micro Hei"/>
          <w:color w:val="000000"/>
          <w:lang w:val="en-US" w:eastAsia="zh-CN"/>
        </w:rPr>
        <w:t>glial metabolites and</w:t>
      </w:r>
      <w:r w:rsidRPr="00245623">
        <w:rPr>
          <w:rFonts w:eastAsia="WenQuanYi Micro Hei"/>
          <w:color w:val="000000"/>
          <w:lang w:val="en-US" w:eastAsia="zh-CN"/>
        </w:rPr>
        <w:t xml:space="preserve"> </w:t>
      </w:r>
      <w:proofErr w:type="spellStart"/>
      <w:r w:rsidRPr="00245623">
        <w:rPr>
          <w:rFonts w:eastAsia="WenQuanYi Micro Hei"/>
          <w:color w:val="000000"/>
          <w:lang w:val="en-US" w:eastAsia="zh-CN"/>
        </w:rPr>
        <w:t>tNAA</w:t>
      </w:r>
      <w:proofErr w:type="spellEnd"/>
      <w:r w:rsidR="008B1A10" w:rsidRPr="00245623">
        <w:rPr>
          <w:rFonts w:eastAsia="WenQuanYi Micro Hei"/>
          <w:color w:val="000000"/>
          <w:lang w:val="en-US" w:eastAsia="zh-CN"/>
        </w:rPr>
        <w:t xml:space="preserve"> (which is known to be present at low concentrations also in oligodendrocytes).</w:t>
      </w:r>
    </w:p>
    <w:p w14:paraId="4491711B" w14:textId="77777777" w:rsidR="0040433E" w:rsidRPr="00245623" w:rsidRDefault="0040433E" w:rsidP="00CB1C3F">
      <w:pPr>
        <w:spacing w:line="480" w:lineRule="auto"/>
        <w:jc w:val="both"/>
        <w:rPr>
          <w:b/>
          <w:lang w:val="en-US"/>
        </w:rPr>
      </w:pPr>
    </w:p>
    <w:p w14:paraId="75475F11" w14:textId="206E5A78" w:rsidR="00A12E20" w:rsidRPr="00245623" w:rsidRDefault="006B5E60" w:rsidP="00CB1C3F">
      <w:pPr>
        <w:spacing w:line="480" w:lineRule="auto"/>
        <w:jc w:val="both"/>
        <w:rPr>
          <w:b/>
          <w:lang w:val="en-US"/>
        </w:rPr>
      </w:pPr>
      <w:r w:rsidRPr="00245623">
        <w:rPr>
          <w:b/>
          <w:lang w:val="en-US"/>
        </w:rPr>
        <w:lastRenderedPageBreak/>
        <w:t xml:space="preserve">4.3 </w:t>
      </w:r>
      <w:r w:rsidR="00A12E20" w:rsidRPr="00245623">
        <w:rPr>
          <w:b/>
          <w:lang w:val="en-US"/>
        </w:rPr>
        <w:t>Limitations</w:t>
      </w:r>
      <w:r w:rsidR="006B0F2A" w:rsidRPr="00245623">
        <w:rPr>
          <w:b/>
          <w:lang w:val="en-US"/>
        </w:rPr>
        <w:t xml:space="preserve"> and further perspectives</w:t>
      </w:r>
    </w:p>
    <w:p w14:paraId="4E170E7A" w14:textId="0D732F0E" w:rsidR="00A12E20" w:rsidRPr="00245623" w:rsidRDefault="00ED4A37" w:rsidP="00CB1C3F">
      <w:pPr>
        <w:spacing w:line="480" w:lineRule="auto"/>
        <w:jc w:val="both"/>
        <w:rPr>
          <w:lang w:val="en-US"/>
        </w:rPr>
      </w:pPr>
      <w:r w:rsidRPr="00245623">
        <w:rPr>
          <w:lang w:val="en-US"/>
        </w:rPr>
        <w:t xml:space="preserve">The major limitation of this study </w:t>
      </w:r>
      <w:r w:rsidR="003703A6" w:rsidRPr="00245623">
        <w:rPr>
          <w:lang w:val="en-US"/>
        </w:rPr>
        <w:t>was</w:t>
      </w:r>
      <w:r w:rsidRPr="00245623">
        <w:rPr>
          <w:lang w:val="en-US"/>
        </w:rPr>
        <w:t xml:space="preserve"> that </w:t>
      </w:r>
      <w:r w:rsidR="000D5B94" w:rsidRPr="00245623">
        <w:rPr>
          <w:lang w:val="en-US"/>
        </w:rPr>
        <w:t xml:space="preserve">the </w:t>
      </w:r>
      <w:r w:rsidRPr="00245623">
        <w:rPr>
          <w:lang w:val="en-US"/>
        </w:rPr>
        <w:t>AAF</w:t>
      </w:r>
      <w:r w:rsidR="000D5B94" w:rsidRPr="00245623">
        <w:rPr>
          <w:lang w:val="en-US"/>
        </w:rPr>
        <w:t xml:space="preserve"> and MAF histological metrics </w:t>
      </w:r>
      <w:r w:rsidR="00B53539" w:rsidRPr="00245623">
        <w:rPr>
          <w:lang w:val="en-US"/>
        </w:rPr>
        <w:t xml:space="preserve">evaluated </w:t>
      </w:r>
      <w:r w:rsidR="000D5B94" w:rsidRPr="00245623">
        <w:rPr>
          <w:lang w:val="en-US"/>
        </w:rPr>
        <w:t>the total area fractions occupied by astrocytes and microglia, respectively, and d</w:t>
      </w:r>
      <w:r w:rsidR="003703A6" w:rsidRPr="00245623">
        <w:rPr>
          <w:lang w:val="en-US"/>
        </w:rPr>
        <w:t>id</w:t>
      </w:r>
      <w:r w:rsidR="000D5B94" w:rsidRPr="00245623">
        <w:rPr>
          <w:lang w:val="en-US"/>
        </w:rPr>
        <w:t xml:space="preserve"> not enable </w:t>
      </w:r>
      <w:r w:rsidR="00517DC8" w:rsidRPr="00245623">
        <w:rPr>
          <w:lang w:val="en-US"/>
        </w:rPr>
        <w:t>a</w:t>
      </w:r>
      <w:r w:rsidR="000D5B94" w:rsidRPr="00245623">
        <w:rPr>
          <w:lang w:val="en-US"/>
        </w:rPr>
        <w:t xml:space="preserve"> distinction </w:t>
      </w:r>
      <w:r w:rsidR="00495D31" w:rsidRPr="00245623">
        <w:rPr>
          <w:lang w:val="en-US"/>
        </w:rPr>
        <w:t>between</w:t>
      </w:r>
      <w:r w:rsidR="000D5B94" w:rsidRPr="00245623">
        <w:rPr>
          <w:lang w:val="en-US"/>
        </w:rPr>
        <w:t xml:space="preserve"> </w:t>
      </w:r>
      <w:r w:rsidR="00495D31" w:rsidRPr="00245623">
        <w:rPr>
          <w:lang w:val="en-US"/>
        </w:rPr>
        <w:t>cell size increase due to hypertrophy and</w:t>
      </w:r>
      <w:r w:rsidR="000D5B94" w:rsidRPr="00245623">
        <w:rPr>
          <w:lang w:val="en-US"/>
        </w:rPr>
        <w:t xml:space="preserve"> increase in cell number </w:t>
      </w:r>
      <w:r w:rsidR="00495D31" w:rsidRPr="00245623">
        <w:rPr>
          <w:lang w:val="en-US"/>
        </w:rPr>
        <w:t>due to cell proliferation</w:t>
      </w:r>
      <w:r w:rsidR="000D5B94" w:rsidRPr="00245623">
        <w:rPr>
          <w:lang w:val="en-US"/>
        </w:rPr>
        <w:t xml:space="preserve">. </w:t>
      </w:r>
      <w:r w:rsidR="00CE2E67" w:rsidRPr="00245623">
        <w:rPr>
          <w:lang w:val="en-US"/>
        </w:rPr>
        <w:t>Because</w:t>
      </w:r>
      <w:r w:rsidR="00126051" w:rsidRPr="00245623">
        <w:rPr>
          <w:lang w:val="en-US"/>
        </w:rPr>
        <w:t xml:space="preserve"> metabolite diffusion is known to reflect changes in cell morphology rather than proliferation, </w:t>
      </w:r>
      <w:r w:rsidR="00CE2E67" w:rsidRPr="00245623">
        <w:rPr>
          <w:lang w:val="en-US"/>
        </w:rPr>
        <w:t>this may have slightly impacted the correlations between metabolite diffusion measures and histological metrics.</w:t>
      </w:r>
    </w:p>
    <w:p w14:paraId="65934F89" w14:textId="37E299E7" w:rsidR="00F45CFA" w:rsidRPr="00245623" w:rsidRDefault="0046134F" w:rsidP="00CB1C3F">
      <w:pPr>
        <w:spacing w:line="480" w:lineRule="auto"/>
        <w:jc w:val="both"/>
        <w:rPr>
          <w:lang w:val="en-US"/>
        </w:rPr>
      </w:pPr>
      <w:r w:rsidRPr="00245623">
        <w:rPr>
          <w:lang w:val="en-US"/>
        </w:rPr>
        <w:t>In addition,</w:t>
      </w:r>
      <w:r w:rsidR="006B0F2A" w:rsidRPr="00245623">
        <w:rPr>
          <w:lang w:val="en-US"/>
        </w:rPr>
        <w:t xml:space="preserve"> the spectroscopic voxel included a non-negligible </w:t>
      </w:r>
      <w:r w:rsidRPr="00245623">
        <w:rPr>
          <w:lang w:val="en-US"/>
        </w:rPr>
        <w:t xml:space="preserve">fraction </w:t>
      </w:r>
      <w:r w:rsidR="006B0F2A" w:rsidRPr="00245623">
        <w:rPr>
          <w:lang w:val="en-US"/>
        </w:rPr>
        <w:t xml:space="preserve">of grey matter, possibly leading to partial volume effects. </w:t>
      </w:r>
      <w:r w:rsidR="009D6FC8" w:rsidRPr="00245623">
        <w:rPr>
          <w:lang w:val="en-US"/>
        </w:rPr>
        <w:t xml:space="preserve">This could not be avoided as a smaller voxel size covering mostly the </w:t>
      </w:r>
      <w:r w:rsidR="00517DC8" w:rsidRPr="00245623">
        <w:rPr>
          <w:lang w:val="en-US"/>
        </w:rPr>
        <w:t>corpus callosum</w:t>
      </w:r>
      <w:r w:rsidR="009D6FC8" w:rsidRPr="00245623">
        <w:rPr>
          <w:lang w:val="en-US"/>
        </w:rPr>
        <w:t xml:space="preserve"> would have not enabled sufficient signal-to-noise ratio and reliable metabolite quantification at high </w:t>
      </w:r>
      <w:r w:rsidR="009D6FC8" w:rsidRPr="00245623">
        <w:rPr>
          <w:i/>
          <w:lang w:val="en-US"/>
        </w:rPr>
        <w:t>b</w:t>
      </w:r>
      <w:r w:rsidR="00824719" w:rsidRPr="00245623">
        <w:rPr>
          <w:lang w:val="en-US"/>
        </w:rPr>
        <w:t>-</w:t>
      </w:r>
      <w:r w:rsidR="009D6FC8" w:rsidRPr="00245623">
        <w:rPr>
          <w:lang w:val="en-US"/>
        </w:rPr>
        <w:t xml:space="preserve">values. </w:t>
      </w:r>
      <w:r w:rsidR="006B0F2A" w:rsidRPr="00245623">
        <w:rPr>
          <w:lang w:val="en-US"/>
        </w:rPr>
        <w:t xml:space="preserve">Although it is known that the </w:t>
      </w:r>
      <w:r w:rsidR="00517DC8" w:rsidRPr="00245623">
        <w:rPr>
          <w:lang w:val="en-US"/>
        </w:rPr>
        <w:t>corpus callosum</w:t>
      </w:r>
      <w:r w:rsidR="006B0F2A" w:rsidRPr="00245623">
        <w:rPr>
          <w:lang w:val="en-US"/>
        </w:rPr>
        <w:t xml:space="preserve"> is the most affected brain area in the CPZ model, we cannot</w:t>
      </w:r>
      <w:r w:rsidR="00AD69EC" w:rsidRPr="00245623">
        <w:rPr>
          <w:lang w:val="en-US"/>
        </w:rPr>
        <w:t xml:space="preserve"> </w:t>
      </w:r>
      <w:r w:rsidR="006B0F2A" w:rsidRPr="00245623">
        <w:rPr>
          <w:lang w:val="en-US"/>
        </w:rPr>
        <w:t xml:space="preserve">exclude that inflammation may </w:t>
      </w:r>
      <w:r w:rsidR="007F51D6" w:rsidRPr="00245623">
        <w:rPr>
          <w:lang w:val="en-US"/>
        </w:rPr>
        <w:t xml:space="preserve">have </w:t>
      </w:r>
      <w:r w:rsidR="006B0F2A" w:rsidRPr="00245623">
        <w:rPr>
          <w:lang w:val="en-US"/>
        </w:rPr>
        <w:t>extend</w:t>
      </w:r>
      <w:r w:rsidR="007F51D6" w:rsidRPr="00245623">
        <w:rPr>
          <w:lang w:val="en-US"/>
        </w:rPr>
        <w:t>ed</w:t>
      </w:r>
      <w:r w:rsidR="006B0F2A" w:rsidRPr="00245623">
        <w:rPr>
          <w:lang w:val="en-US"/>
        </w:rPr>
        <w:t xml:space="preserve"> to </w:t>
      </w:r>
      <w:r w:rsidR="00C40821" w:rsidRPr="00245623">
        <w:rPr>
          <w:lang w:val="en-US"/>
        </w:rPr>
        <w:t>grey matter</w:t>
      </w:r>
      <w:r w:rsidR="006B0F2A" w:rsidRPr="00245623">
        <w:rPr>
          <w:lang w:val="en-US"/>
        </w:rPr>
        <w:t xml:space="preserve"> areas. </w:t>
      </w:r>
      <w:r w:rsidR="00030F9A" w:rsidRPr="00245623">
        <w:rPr>
          <w:lang w:val="en-US"/>
        </w:rPr>
        <w:t xml:space="preserve">If this </w:t>
      </w:r>
      <w:r w:rsidR="007F51D6" w:rsidRPr="00245623">
        <w:rPr>
          <w:lang w:val="en-US"/>
        </w:rPr>
        <w:t>wa</w:t>
      </w:r>
      <w:r w:rsidR="00030F9A" w:rsidRPr="00245623">
        <w:rPr>
          <w:lang w:val="en-US"/>
        </w:rPr>
        <w:t xml:space="preserve">s the case, we </w:t>
      </w:r>
      <w:r w:rsidR="00D432EA" w:rsidRPr="00245623">
        <w:rPr>
          <w:lang w:val="en-US"/>
        </w:rPr>
        <w:t>would</w:t>
      </w:r>
      <w:r w:rsidR="00AD69EC" w:rsidRPr="00245623">
        <w:rPr>
          <w:lang w:val="en-US"/>
        </w:rPr>
        <w:t xml:space="preserve"> </w:t>
      </w:r>
      <w:r w:rsidR="00030F9A" w:rsidRPr="00245623">
        <w:rPr>
          <w:lang w:val="en-US"/>
        </w:rPr>
        <w:t xml:space="preserve">expect a similar </w:t>
      </w:r>
      <w:r w:rsidR="009D6FC8" w:rsidRPr="00245623">
        <w:rPr>
          <w:lang w:val="en-US"/>
        </w:rPr>
        <w:t xml:space="preserve">reactivity of glial cells as for the </w:t>
      </w:r>
      <w:r w:rsidR="00C40821" w:rsidRPr="00245623">
        <w:rPr>
          <w:lang w:val="en-US"/>
        </w:rPr>
        <w:t>white matter</w:t>
      </w:r>
      <w:r w:rsidR="009D6FC8" w:rsidRPr="00245623">
        <w:rPr>
          <w:lang w:val="en-US"/>
        </w:rPr>
        <w:t xml:space="preserve">, which may have further contributed to the observed abnormally high </w:t>
      </w:r>
      <w:proofErr w:type="spellStart"/>
      <w:r w:rsidR="009D6FC8" w:rsidRPr="00245623">
        <w:rPr>
          <w:lang w:val="en-US"/>
        </w:rPr>
        <w:t>mIns</w:t>
      </w:r>
      <w:proofErr w:type="spellEnd"/>
      <w:r w:rsidR="009D6FC8" w:rsidRPr="00245623">
        <w:rPr>
          <w:lang w:val="en-US"/>
        </w:rPr>
        <w:t xml:space="preserve"> and </w:t>
      </w:r>
      <w:proofErr w:type="spellStart"/>
      <w:r w:rsidR="009D6FC8" w:rsidRPr="00245623">
        <w:rPr>
          <w:lang w:val="en-US"/>
        </w:rPr>
        <w:t>tCho</w:t>
      </w:r>
      <w:proofErr w:type="spellEnd"/>
      <w:r w:rsidR="009D6FC8" w:rsidRPr="00245623">
        <w:rPr>
          <w:lang w:val="en-US"/>
        </w:rPr>
        <w:t xml:space="preserve"> ADCs. Further studies will include histological assessment of glial alterations also in the </w:t>
      </w:r>
      <w:r w:rsidR="00C40821" w:rsidRPr="00245623">
        <w:rPr>
          <w:lang w:val="en-US"/>
        </w:rPr>
        <w:t>grey matter</w:t>
      </w:r>
      <w:r w:rsidR="009D6FC8" w:rsidRPr="00245623">
        <w:rPr>
          <w:lang w:val="en-US"/>
        </w:rPr>
        <w:t xml:space="preserve"> regions included in the spectroscopic voxel</w:t>
      </w:r>
      <w:r w:rsidR="00151B81" w:rsidRPr="00245623">
        <w:rPr>
          <w:lang w:val="en-US"/>
        </w:rPr>
        <w:t xml:space="preserve">, as well as quantification of the glial cell number for proper estimation of both cell size and density variations. </w:t>
      </w:r>
      <w:r w:rsidR="00F45CFA" w:rsidRPr="00245623">
        <w:rPr>
          <w:lang w:val="en-US"/>
        </w:rPr>
        <w:t xml:space="preserve">In addition, to further validate the role of </w:t>
      </w:r>
      <w:proofErr w:type="spellStart"/>
      <w:r w:rsidR="00F45CFA" w:rsidRPr="00245623">
        <w:rPr>
          <w:lang w:val="en-US"/>
        </w:rPr>
        <w:t>mIns</w:t>
      </w:r>
      <w:proofErr w:type="spellEnd"/>
      <w:r w:rsidR="00F45CFA" w:rsidRPr="00245623">
        <w:rPr>
          <w:lang w:val="en-US"/>
        </w:rPr>
        <w:t xml:space="preserve"> and </w:t>
      </w:r>
      <w:proofErr w:type="spellStart"/>
      <w:r w:rsidR="00F45CFA" w:rsidRPr="00245623">
        <w:rPr>
          <w:lang w:val="en-US"/>
        </w:rPr>
        <w:t>tCho</w:t>
      </w:r>
      <w:proofErr w:type="spellEnd"/>
      <w:r w:rsidR="00F45CFA" w:rsidRPr="00245623">
        <w:rPr>
          <w:lang w:val="en-US"/>
        </w:rPr>
        <w:t xml:space="preserve"> diffusion metrics as reliable marker</w:t>
      </w:r>
      <w:r w:rsidR="007659EB" w:rsidRPr="00245623">
        <w:rPr>
          <w:lang w:val="en-US"/>
        </w:rPr>
        <w:t>s</w:t>
      </w:r>
      <w:r w:rsidR="00F45CFA" w:rsidRPr="00245623">
        <w:rPr>
          <w:lang w:val="en-US"/>
        </w:rPr>
        <w:t xml:space="preserve"> of inflammation, future studies </w:t>
      </w:r>
      <w:r w:rsidR="00824719" w:rsidRPr="00245623">
        <w:rPr>
          <w:lang w:val="en-US"/>
        </w:rPr>
        <w:t>shall</w:t>
      </w:r>
      <w:r w:rsidR="00F45CFA" w:rsidRPr="00245623">
        <w:rPr>
          <w:lang w:val="en-US"/>
        </w:rPr>
        <w:t xml:space="preserve"> focus on the longitudinal variations of DW-MRS measures</w:t>
      </w:r>
      <w:r w:rsidR="00065C90" w:rsidRPr="00245623">
        <w:rPr>
          <w:lang w:val="en-US"/>
        </w:rPr>
        <w:t xml:space="preserve"> in the CPZ mouse model</w:t>
      </w:r>
      <w:r w:rsidR="00F45CFA" w:rsidRPr="00245623">
        <w:rPr>
          <w:lang w:val="en-US"/>
        </w:rPr>
        <w:t xml:space="preserve"> during </w:t>
      </w:r>
      <w:r w:rsidR="0094485E" w:rsidRPr="00245623">
        <w:rPr>
          <w:lang w:val="en-US"/>
        </w:rPr>
        <w:t xml:space="preserve">different stages of </w:t>
      </w:r>
      <w:r w:rsidR="00F45CFA" w:rsidRPr="00245623">
        <w:rPr>
          <w:lang w:val="en-US"/>
        </w:rPr>
        <w:t>de</w:t>
      </w:r>
      <w:r w:rsidR="0094485E" w:rsidRPr="00245623">
        <w:rPr>
          <w:lang w:val="en-US"/>
        </w:rPr>
        <w:t>- and re</w:t>
      </w:r>
      <w:r w:rsidR="00B235B8" w:rsidRPr="00245623">
        <w:rPr>
          <w:lang w:val="en-US"/>
        </w:rPr>
        <w:t>-</w:t>
      </w:r>
      <w:r w:rsidR="00F45CFA" w:rsidRPr="00245623">
        <w:rPr>
          <w:lang w:val="en-US"/>
        </w:rPr>
        <w:t>myelination</w:t>
      </w:r>
      <w:r w:rsidR="0094485E" w:rsidRPr="00245623">
        <w:rPr>
          <w:lang w:val="en-US"/>
        </w:rPr>
        <w:t>.</w:t>
      </w:r>
    </w:p>
    <w:p w14:paraId="4B513FC5" w14:textId="3DA3D1F6" w:rsidR="0040433E" w:rsidRPr="00245623" w:rsidRDefault="00AF41A5" w:rsidP="008E5E50">
      <w:pPr>
        <w:spacing w:line="480" w:lineRule="auto"/>
        <w:jc w:val="both"/>
        <w:rPr>
          <w:lang w:val="en-US"/>
        </w:rPr>
      </w:pPr>
      <w:r w:rsidRPr="00245623">
        <w:rPr>
          <w:lang w:val="en-US"/>
        </w:rPr>
        <w:t>Furthermore</w:t>
      </w:r>
      <w:r w:rsidR="00151B81" w:rsidRPr="00245623">
        <w:rPr>
          <w:lang w:val="en-US"/>
        </w:rPr>
        <w:t xml:space="preserve">, in order to test the hypothesis of </w:t>
      </w:r>
      <w:proofErr w:type="spellStart"/>
      <w:r w:rsidR="00151B81" w:rsidRPr="00245623">
        <w:rPr>
          <w:lang w:val="en-US"/>
        </w:rPr>
        <w:t>tCho</w:t>
      </w:r>
      <w:proofErr w:type="spellEnd"/>
      <w:r w:rsidR="00151B81" w:rsidRPr="00245623">
        <w:rPr>
          <w:lang w:val="en-US"/>
        </w:rPr>
        <w:t xml:space="preserve"> </w:t>
      </w:r>
      <w:r w:rsidR="0049483F" w:rsidRPr="00245623">
        <w:rPr>
          <w:lang w:val="en-US"/>
        </w:rPr>
        <w:t xml:space="preserve">diffusion </w:t>
      </w:r>
      <w:r w:rsidR="00151B81" w:rsidRPr="00245623">
        <w:rPr>
          <w:lang w:val="en-US"/>
        </w:rPr>
        <w:t>as specific marke</w:t>
      </w:r>
      <w:r w:rsidR="0049483F" w:rsidRPr="00245623">
        <w:rPr>
          <w:lang w:val="en-US"/>
        </w:rPr>
        <w:t>r</w:t>
      </w:r>
      <w:r w:rsidR="00151B81" w:rsidRPr="00245623">
        <w:rPr>
          <w:lang w:val="en-US"/>
        </w:rPr>
        <w:t xml:space="preserve"> of microglia activation, </w:t>
      </w:r>
      <w:r w:rsidR="00123CD8" w:rsidRPr="00245623">
        <w:rPr>
          <w:lang w:val="en-US"/>
        </w:rPr>
        <w:t xml:space="preserve">loss-of-function experiments in which astrocytes </w:t>
      </w:r>
      <w:r w:rsidR="00AD7502" w:rsidRPr="00245623">
        <w:rPr>
          <w:lang w:val="en-US"/>
        </w:rPr>
        <w:t>or</w:t>
      </w:r>
      <w:r w:rsidR="00D432EA" w:rsidRPr="00245623">
        <w:rPr>
          <w:lang w:val="en-US"/>
        </w:rPr>
        <w:t xml:space="preserve"> microglia</w:t>
      </w:r>
      <w:r w:rsidR="00AD69EC" w:rsidRPr="00245623">
        <w:rPr>
          <w:lang w:val="en-US"/>
        </w:rPr>
        <w:t xml:space="preserve"> </w:t>
      </w:r>
      <w:r w:rsidR="00123CD8" w:rsidRPr="00245623">
        <w:rPr>
          <w:lang w:val="en-US"/>
        </w:rPr>
        <w:t xml:space="preserve">are selectively depleted in mice treated with CPZ are warranted. </w:t>
      </w:r>
      <w:r w:rsidRPr="00245623">
        <w:rPr>
          <w:lang w:val="en-US"/>
        </w:rPr>
        <w:t>Finally,</w:t>
      </w:r>
      <w:r w:rsidR="002E41E7" w:rsidRPr="00245623">
        <w:rPr>
          <w:lang w:val="en-US"/>
        </w:rPr>
        <w:t xml:space="preserve"> </w:t>
      </w:r>
      <w:r w:rsidRPr="00245623">
        <w:rPr>
          <w:lang w:val="en-US"/>
        </w:rPr>
        <w:t xml:space="preserve"> </w:t>
      </w:r>
      <w:r w:rsidR="002E41E7" w:rsidRPr="00245623">
        <w:rPr>
          <w:lang w:val="en-US"/>
        </w:rPr>
        <w:t>the</w:t>
      </w:r>
      <w:r w:rsidRPr="00245623">
        <w:rPr>
          <w:lang w:val="en-US"/>
        </w:rPr>
        <w:t xml:space="preserve"> macromolecule spectrum </w:t>
      </w:r>
      <w:r w:rsidR="002E41E7" w:rsidRPr="00245623">
        <w:rPr>
          <w:lang w:val="en-US"/>
        </w:rPr>
        <w:t xml:space="preserve">employed in this study </w:t>
      </w:r>
      <w:r w:rsidRPr="00245623">
        <w:rPr>
          <w:lang w:val="en-US"/>
        </w:rPr>
        <w:t>was acquired only in control m</w:t>
      </w:r>
      <w:r w:rsidR="002E41E7" w:rsidRPr="00245623">
        <w:rPr>
          <w:lang w:val="en-US"/>
        </w:rPr>
        <w:t>ice</w:t>
      </w:r>
      <w:r w:rsidRPr="00245623">
        <w:rPr>
          <w:lang w:val="en-US"/>
        </w:rPr>
        <w:t xml:space="preserve">, assuming that macromolecule concentration and diffusion did not change significantly between CPZ and control mice. This assumption requires, however, experimental validation. </w:t>
      </w:r>
    </w:p>
    <w:p w14:paraId="0F97C0B2" w14:textId="77777777" w:rsidR="0040433E" w:rsidRPr="00245623" w:rsidRDefault="0040433E" w:rsidP="008E5E50">
      <w:pPr>
        <w:spacing w:line="480" w:lineRule="auto"/>
        <w:jc w:val="both"/>
        <w:rPr>
          <w:b/>
          <w:sz w:val="28"/>
          <w:lang w:val="en-US"/>
        </w:rPr>
      </w:pPr>
    </w:p>
    <w:p w14:paraId="10BA1BAB" w14:textId="2F63D21D" w:rsidR="007F3C71" w:rsidRPr="00245623" w:rsidRDefault="00A12E20" w:rsidP="006B5E60">
      <w:pPr>
        <w:pStyle w:val="Paragraphedeliste"/>
        <w:numPr>
          <w:ilvl w:val="0"/>
          <w:numId w:val="3"/>
        </w:numPr>
        <w:spacing w:line="480" w:lineRule="auto"/>
        <w:jc w:val="both"/>
        <w:rPr>
          <w:b/>
          <w:sz w:val="28"/>
          <w:lang w:val="en-US"/>
        </w:rPr>
      </w:pPr>
      <w:r w:rsidRPr="00245623">
        <w:rPr>
          <w:b/>
          <w:sz w:val="28"/>
          <w:lang w:val="en-US"/>
        </w:rPr>
        <w:lastRenderedPageBreak/>
        <w:t>Conclusions</w:t>
      </w:r>
    </w:p>
    <w:p w14:paraId="0DBD4D07" w14:textId="48DEAB28" w:rsidR="00C50731" w:rsidRPr="00245623" w:rsidRDefault="00EF7EC3" w:rsidP="00C070CB">
      <w:pPr>
        <w:spacing w:line="480" w:lineRule="auto"/>
        <w:jc w:val="both"/>
        <w:rPr>
          <w:lang w:val="en-US"/>
        </w:rPr>
      </w:pPr>
      <w:r w:rsidRPr="00245623">
        <w:rPr>
          <w:lang w:val="en-US"/>
        </w:rPr>
        <w:t xml:space="preserve">This study </w:t>
      </w:r>
      <w:r w:rsidR="00E30D53" w:rsidRPr="00245623">
        <w:rPr>
          <w:lang w:val="en-US"/>
        </w:rPr>
        <w:t>demonstrated that</w:t>
      </w:r>
      <w:r w:rsidRPr="00245623">
        <w:rPr>
          <w:lang w:val="en-US"/>
        </w:rPr>
        <w:t xml:space="preserve"> </w:t>
      </w:r>
      <w:proofErr w:type="spellStart"/>
      <w:r w:rsidR="00427FDB" w:rsidRPr="00245623">
        <w:rPr>
          <w:lang w:val="en-US"/>
        </w:rPr>
        <w:t>mIns</w:t>
      </w:r>
      <w:proofErr w:type="spellEnd"/>
      <w:r w:rsidR="00427FDB" w:rsidRPr="00245623">
        <w:rPr>
          <w:lang w:val="en-US"/>
        </w:rPr>
        <w:t xml:space="preserve"> diffusion </w:t>
      </w:r>
      <w:r w:rsidR="00E30D53" w:rsidRPr="00245623">
        <w:rPr>
          <w:lang w:val="en-US"/>
        </w:rPr>
        <w:t xml:space="preserve">could be used </w:t>
      </w:r>
      <w:r w:rsidRPr="00245623">
        <w:rPr>
          <w:lang w:val="en-US"/>
        </w:rPr>
        <w:t>as a powerful</w:t>
      </w:r>
      <w:r w:rsidR="00427FDB" w:rsidRPr="00245623">
        <w:rPr>
          <w:lang w:val="en-US"/>
        </w:rPr>
        <w:t xml:space="preserve"> marker of </w:t>
      </w:r>
      <w:r w:rsidR="0072078E" w:rsidRPr="00245623">
        <w:rPr>
          <w:lang w:val="en-US"/>
        </w:rPr>
        <w:t xml:space="preserve">inflammation-driven </w:t>
      </w:r>
      <w:r w:rsidRPr="00245623">
        <w:rPr>
          <w:lang w:val="en-US"/>
        </w:rPr>
        <w:t xml:space="preserve">astrocytic </w:t>
      </w:r>
      <w:r w:rsidR="006F6F2F" w:rsidRPr="00245623">
        <w:rPr>
          <w:lang w:val="en-US"/>
        </w:rPr>
        <w:t>hypertrophy</w:t>
      </w:r>
      <w:r w:rsidRPr="00245623">
        <w:rPr>
          <w:lang w:val="en-US"/>
        </w:rPr>
        <w:t xml:space="preserve"> </w:t>
      </w:r>
      <w:r w:rsidR="0072078E" w:rsidRPr="00245623">
        <w:rPr>
          <w:lang w:val="en-US"/>
        </w:rPr>
        <w:t xml:space="preserve">in CPZ mice </w:t>
      </w:r>
      <w:r w:rsidRPr="00245623">
        <w:rPr>
          <w:lang w:val="en-US"/>
        </w:rPr>
        <w:t>and suggest</w:t>
      </w:r>
      <w:r w:rsidR="00824719" w:rsidRPr="00245623">
        <w:rPr>
          <w:lang w:val="en-US"/>
        </w:rPr>
        <w:t>ed</w:t>
      </w:r>
      <w:r w:rsidR="00FC01B3" w:rsidRPr="00245623">
        <w:rPr>
          <w:lang w:val="en-US"/>
        </w:rPr>
        <w:t xml:space="preserve"> that</w:t>
      </w:r>
      <w:r w:rsidRPr="00245623">
        <w:rPr>
          <w:lang w:val="en-US"/>
        </w:rPr>
        <w:t xml:space="preserve"> </w:t>
      </w:r>
      <w:proofErr w:type="spellStart"/>
      <w:r w:rsidRPr="00245623">
        <w:rPr>
          <w:lang w:val="en-US"/>
        </w:rPr>
        <w:t>tCho</w:t>
      </w:r>
      <w:proofErr w:type="spellEnd"/>
      <w:r w:rsidRPr="00245623">
        <w:rPr>
          <w:lang w:val="en-US"/>
        </w:rPr>
        <w:t xml:space="preserve"> diffusion </w:t>
      </w:r>
      <w:r w:rsidR="00AE6BA8" w:rsidRPr="00245623">
        <w:rPr>
          <w:lang w:val="en-US"/>
        </w:rPr>
        <w:t>may be</w:t>
      </w:r>
      <w:r w:rsidRPr="00245623">
        <w:rPr>
          <w:lang w:val="en-US"/>
        </w:rPr>
        <w:t xml:space="preserve"> a </w:t>
      </w:r>
      <w:r w:rsidR="006F6F2F" w:rsidRPr="00245623">
        <w:rPr>
          <w:lang w:val="en-US"/>
        </w:rPr>
        <w:t xml:space="preserve">possible specific probe of </w:t>
      </w:r>
      <w:r w:rsidRPr="00245623">
        <w:rPr>
          <w:lang w:val="en-US"/>
        </w:rPr>
        <w:t>microglia reactivity.</w:t>
      </w:r>
      <w:r w:rsidR="00427FDB" w:rsidRPr="00245623">
        <w:rPr>
          <w:lang w:val="en-US"/>
        </w:rPr>
        <w:t xml:space="preserve"> </w:t>
      </w:r>
      <w:r w:rsidR="006F6F2F" w:rsidRPr="00245623">
        <w:rPr>
          <w:lang w:val="en-US"/>
        </w:rPr>
        <w:t xml:space="preserve">While </w:t>
      </w:r>
      <w:proofErr w:type="spellStart"/>
      <w:r w:rsidR="006F6F2F" w:rsidRPr="00245623">
        <w:rPr>
          <w:lang w:val="en-US"/>
        </w:rPr>
        <w:t>mIns</w:t>
      </w:r>
      <w:proofErr w:type="spellEnd"/>
      <w:r w:rsidR="006F6F2F" w:rsidRPr="00245623">
        <w:rPr>
          <w:lang w:val="en-US"/>
        </w:rPr>
        <w:t xml:space="preserve"> diffusion data showed an excellent correlation with histologic measures of astrocytic </w:t>
      </w:r>
      <w:r w:rsidR="00A729BC" w:rsidRPr="00245623">
        <w:rPr>
          <w:lang w:val="en-US"/>
        </w:rPr>
        <w:t xml:space="preserve">activation </w:t>
      </w:r>
      <w:r w:rsidR="006F6F2F" w:rsidRPr="00245623">
        <w:rPr>
          <w:lang w:val="en-US"/>
        </w:rPr>
        <w:t>even in a very small m</w:t>
      </w:r>
      <w:r w:rsidR="00961752" w:rsidRPr="00245623">
        <w:rPr>
          <w:lang w:val="en-US"/>
        </w:rPr>
        <w:t>ouse</w:t>
      </w:r>
      <w:r w:rsidR="006F6F2F" w:rsidRPr="00245623">
        <w:rPr>
          <w:lang w:val="en-US"/>
        </w:rPr>
        <w:t xml:space="preserve"> group, </w:t>
      </w:r>
      <w:r w:rsidR="0072078E" w:rsidRPr="00245623">
        <w:rPr>
          <w:lang w:val="en-US"/>
        </w:rPr>
        <w:t xml:space="preserve">the validation of </w:t>
      </w:r>
      <w:proofErr w:type="spellStart"/>
      <w:r w:rsidR="006F6F2F" w:rsidRPr="00245623">
        <w:rPr>
          <w:lang w:val="en-US"/>
        </w:rPr>
        <w:t>tCho</w:t>
      </w:r>
      <w:proofErr w:type="spellEnd"/>
      <w:r w:rsidR="006F6F2F" w:rsidRPr="00245623">
        <w:rPr>
          <w:lang w:val="en-US"/>
        </w:rPr>
        <w:t xml:space="preserve"> diffusion </w:t>
      </w:r>
      <w:r w:rsidR="0072078E" w:rsidRPr="00245623">
        <w:rPr>
          <w:lang w:val="en-US"/>
        </w:rPr>
        <w:t>data with histologic</w:t>
      </w:r>
      <w:r w:rsidR="00FC01B3" w:rsidRPr="00245623">
        <w:rPr>
          <w:lang w:val="en-US"/>
        </w:rPr>
        <w:t>al</w:t>
      </w:r>
      <w:r w:rsidR="0072078E" w:rsidRPr="00245623">
        <w:rPr>
          <w:lang w:val="en-US"/>
        </w:rPr>
        <w:t xml:space="preserve"> markers of microglia</w:t>
      </w:r>
      <w:r w:rsidR="006F6F2F" w:rsidRPr="00245623">
        <w:rPr>
          <w:lang w:val="en-US"/>
        </w:rPr>
        <w:t xml:space="preserve"> </w:t>
      </w:r>
      <w:r w:rsidR="00C40821" w:rsidRPr="00245623">
        <w:rPr>
          <w:lang w:val="en-US"/>
        </w:rPr>
        <w:t>should be corroborated</w:t>
      </w:r>
      <w:r w:rsidR="006F6F2F" w:rsidRPr="00245623">
        <w:rPr>
          <w:lang w:val="en-US"/>
        </w:rPr>
        <w:t xml:space="preserve"> in a larger cohort</w:t>
      </w:r>
      <w:r w:rsidR="001D1649" w:rsidRPr="00245623">
        <w:rPr>
          <w:lang w:val="en-US"/>
        </w:rPr>
        <w:t xml:space="preserve"> and potentially in a more specific mouse model of microglia reactivity</w:t>
      </w:r>
      <w:r w:rsidR="006F6F2F" w:rsidRPr="00245623">
        <w:rPr>
          <w:lang w:val="en-US"/>
        </w:rPr>
        <w:t xml:space="preserve">. </w:t>
      </w:r>
      <w:r w:rsidRPr="00245623">
        <w:rPr>
          <w:lang w:val="en-US"/>
        </w:rPr>
        <w:t xml:space="preserve">This work was conducted under experimental conditions that could be translated into the clinical setting and poses the bases for the </w:t>
      </w:r>
      <w:r w:rsidR="00AE6BA8" w:rsidRPr="00245623">
        <w:rPr>
          <w:lang w:val="en-US"/>
        </w:rPr>
        <w:t>study</w:t>
      </w:r>
      <w:r w:rsidRPr="00245623">
        <w:rPr>
          <w:lang w:val="en-US"/>
        </w:rPr>
        <w:t xml:space="preserve"> of inflammation </w:t>
      </w:r>
      <w:r w:rsidR="00D55A6C" w:rsidRPr="00245623">
        <w:rPr>
          <w:lang w:val="en-US"/>
        </w:rPr>
        <w:t xml:space="preserve">processes </w:t>
      </w:r>
      <w:r w:rsidR="00AE6BA8" w:rsidRPr="00245623">
        <w:rPr>
          <w:lang w:val="en-US"/>
        </w:rPr>
        <w:t>in</w:t>
      </w:r>
      <w:r w:rsidRPr="00245623">
        <w:rPr>
          <w:lang w:val="en-US"/>
        </w:rPr>
        <w:t xml:space="preserve"> the human brain. In perspective, </w:t>
      </w:r>
      <w:r w:rsidR="00FE70FC" w:rsidRPr="00245623">
        <w:rPr>
          <w:lang w:val="en-US"/>
        </w:rPr>
        <w:t>measuring</w:t>
      </w:r>
      <w:r w:rsidRPr="00245623">
        <w:rPr>
          <w:lang w:val="en-US"/>
        </w:rPr>
        <w:t xml:space="preserve"> longitudinal changes of DW-MRS markers of inflammation may be extremely useful for assessing disease progression, </w:t>
      </w:r>
      <w:r w:rsidR="00D55A6C" w:rsidRPr="00245623">
        <w:rPr>
          <w:lang w:val="en-US"/>
        </w:rPr>
        <w:t xml:space="preserve">evaluating </w:t>
      </w:r>
      <w:r w:rsidRPr="00245623">
        <w:rPr>
          <w:lang w:val="en-US"/>
        </w:rPr>
        <w:t xml:space="preserve">optimal therapeutic </w:t>
      </w:r>
      <w:r w:rsidR="00D55A6C" w:rsidRPr="00245623">
        <w:rPr>
          <w:lang w:val="en-US"/>
        </w:rPr>
        <w:t xml:space="preserve">temporal </w:t>
      </w:r>
      <w:r w:rsidRPr="00245623">
        <w:rPr>
          <w:lang w:val="en-US"/>
        </w:rPr>
        <w:t xml:space="preserve">windows, </w:t>
      </w:r>
      <w:r w:rsidR="00341577" w:rsidRPr="00245623">
        <w:rPr>
          <w:lang w:val="en-US"/>
        </w:rPr>
        <w:t>and</w:t>
      </w:r>
      <w:r w:rsidRPr="00245623">
        <w:rPr>
          <w:lang w:val="en-US"/>
        </w:rPr>
        <w:t xml:space="preserve"> monitoring the effect of specific treatments ta</w:t>
      </w:r>
      <w:r w:rsidR="00D55A6C" w:rsidRPr="00245623">
        <w:rPr>
          <w:lang w:val="en-US"/>
        </w:rPr>
        <w:t>rgeting</w:t>
      </w:r>
      <w:r w:rsidRPr="00245623">
        <w:rPr>
          <w:lang w:val="en-US"/>
        </w:rPr>
        <w:t xml:space="preserve"> inflammation.</w:t>
      </w:r>
    </w:p>
    <w:p w14:paraId="00729683" w14:textId="77777777" w:rsidR="00F076F2" w:rsidRPr="00245623" w:rsidRDefault="00F076F2" w:rsidP="00F076F2">
      <w:pPr>
        <w:rPr>
          <w:lang w:val="en-US"/>
        </w:rPr>
      </w:pPr>
    </w:p>
    <w:p w14:paraId="66E1F902" w14:textId="77777777" w:rsidR="00C50731" w:rsidRPr="00245623" w:rsidRDefault="00C50731">
      <w:pPr>
        <w:jc w:val="both"/>
        <w:rPr>
          <w:b/>
          <w:bCs/>
          <w:sz w:val="26"/>
          <w:szCs w:val="26"/>
          <w:lang w:val="en-US"/>
        </w:rPr>
      </w:pPr>
    </w:p>
    <w:p w14:paraId="061AAFA6" w14:textId="77777777" w:rsidR="00BA0E93" w:rsidRPr="00245623" w:rsidRDefault="00BA0E93">
      <w:pPr>
        <w:jc w:val="both"/>
        <w:rPr>
          <w:b/>
          <w:bCs/>
          <w:sz w:val="26"/>
          <w:szCs w:val="26"/>
          <w:lang w:val="en-US"/>
        </w:rPr>
      </w:pPr>
    </w:p>
    <w:p w14:paraId="48D138B0" w14:textId="77777777" w:rsidR="00BA0E93" w:rsidRPr="00245623" w:rsidRDefault="00BA0E93">
      <w:pPr>
        <w:jc w:val="both"/>
        <w:rPr>
          <w:b/>
          <w:bCs/>
          <w:sz w:val="26"/>
          <w:szCs w:val="26"/>
          <w:lang w:val="en-US"/>
        </w:rPr>
      </w:pPr>
    </w:p>
    <w:p w14:paraId="1D78996C" w14:textId="1AE21111" w:rsidR="00B3786B" w:rsidRPr="00245623" w:rsidRDefault="00A86E6B" w:rsidP="006B5E60">
      <w:pPr>
        <w:pStyle w:val="Paragraphedeliste"/>
        <w:numPr>
          <w:ilvl w:val="0"/>
          <w:numId w:val="3"/>
        </w:numPr>
        <w:jc w:val="both"/>
        <w:rPr>
          <w:b/>
          <w:bCs/>
          <w:sz w:val="26"/>
          <w:szCs w:val="26"/>
          <w:lang w:val="en-US"/>
        </w:rPr>
      </w:pPr>
      <w:r w:rsidRPr="00245623">
        <w:rPr>
          <w:b/>
          <w:bCs/>
          <w:sz w:val="26"/>
          <w:szCs w:val="26"/>
          <w:lang w:val="en-US"/>
        </w:rPr>
        <w:softHyphen/>
      </w:r>
      <w:r w:rsidRPr="00245623">
        <w:rPr>
          <w:b/>
          <w:bCs/>
          <w:sz w:val="26"/>
          <w:szCs w:val="26"/>
          <w:lang w:val="en-US"/>
        </w:rPr>
        <w:softHyphen/>
      </w:r>
      <w:r w:rsidR="00B13A55" w:rsidRPr="00245623">
        <w:rPr>
          <w:b/>
          <w:bCs/>
          <w:sz w:val="28"/>
          <w:szCs w:val="26"/>
          <w:lang w:val="en-US"/>
        </w:rPr>
        <w:t>References</w:t>
      </w:r>
    </w:p>
    <w:p w14:paraId="36A283C6" w14:textId="77777777" w:rsidR="00BE7D82" w:rsidRPr="00245623" w:rsidRDefault="00BE7D82" w:rsidP="0094133A">
      <w:pPr>
        <w:widowControl w:val="0"/>
        <w:autoSpaceDE w:val="0"/>
        <w:autoSpaceDN w:val="0"/>
        <w:adjustRightInd w:val="0"/>
        <w:rPr>
          <w:color w:val="000000" w:themeColor="text1"/>
          <w:lang w:val="en-US"/>
        </w:rPr>
      </w:pPr>
    </w:p>
    <w:p w14:paraId="3F317FF7" w14:textId="2D174A7A" w:rsidR="00AC7306" w:rsidRPr="00245623" w:rsidRDefault="00BA76C6" w:rsidP="00AC7306">
      <w:pPr>
        <w:pStyle w:val="Bibliographie3"/>
      </w:pPr>
      <w:r w:rsidRPr="00245623">
        <w:rPr>
          <w:color w:val="000000" w:themeColor="text1"/>
          <w:lang w:val="fr-FR"/>
        </w:rPr>
        <w:fldChar w:fldCharType="begin"/>
      </w:r>
      <w:r w:rsidR="00AC7306" w:rsidRPr="00245623">
        <w:instrText xml:space="preserve"> ADDIN ZOTERO_BIBL {"uncited":[],"omitted":[],"custom":[]} CSL_BIBLIOGRAPHY </w:instrText>
      </w:r>
      <w:r w:rsidRPr="00245623">
        <w:rPr>
          <w:color w:val="000000" w:themeColor="text1"/>
          <w:lang w:val="fr-FR"/>
        </w:rPr>
        <w:fldChar w:fldCharType="separate"/>
      </w:r>
      <w:r w:rsidR="00AC7306" w:rsidRPr="00245623">
        <w:t xml:space="preserve">1. </w:t>
      </w:r>
      <w:r w:rsidR="00AC7306" w:rsidRPr="00245623">
        <w:tab/>
        <w:t xml:space="preserve">Martino G, Adorini L, Rieckmann P, et al. Inflammation in multiple sclerosis: the good, the bad, and the complex. </w:t>
      </w:r>
      <w:r w:rsidR="00AC7306" w:rsidRPr="00245623">
        <w:rPr>
          <w:i/>
          <w:iCs/>
        </w:rPr>
        <w:t>Lancet Neurol</w:t>
      </w:r>
      <w:r w:rsidR="00AC7306" w:rsidRPr="00245623">
        <w:t>. 2002;1(8):499-509. doi:10.1016/S1474-4422(02)00223-5</w:t>
      </w:r>
    </w:p>
    <w:p w14:paraId="6906FA33" w14:textId="77777777" w:rsidR="00AC7306" w:rsidRPr="00245623" w:rsidRDefault="00AC7306" w:rsidP="00AC7306">
      <w:pPr>
        <w:pStyle w:val="Bibliographie3"/>
      </w:pPr>
      <w:r w:rsidRPr="00245623">
        <w:t xml:space="preserve">2. </w:t>
      </w:r>
      <w:r w:rsidRPr="00245623">
        <w:tab/>
        <w:t xml:space="preserve">Sochocka M, Diniz BS, Leszek J. Inflammatory Response in the CNS: Friend or Foe? </w:t>
      </w:r>
      <w:r w:rsidRPr="00245623">
        <w:rPr>
          <w:i/>
          <w:iCs/>
        </w:rPr>
        <w:t>Mol Neurobiol</w:t>
      </w:r>
      <w:r w:rsidRPr="00245623">
        <w:t>. 2017;54(10):8071-8089. doi:10.1007/s12035-016-0297-1</w:t>
      </w:r>
    </w:p>
    <w:p w14:paraId="4BB95DB4" w14:textId="77777777" w:rsidR="00AC7306" w:rsidRPr="00245623" w:rsidRDefault="00AC7306" w:rsidP="00AC7306">
      <w:pPr>
        <w:pStyle w:val="Bibliographie3"/>
      </w:pPr>
      <w:r w:rsidRPr="00245623">
        <w:t xml:space="preserve">3. </w:t>
      </w:r>
      <w:r w:rsidRPr="00245623">
        <w:tab/>
        <w:t xml:space="preserve">González H, Pacheco R. T-cell-mediated regulation of neuroinflammation involved in neurodegenerative diseases. </w:t>
      </w:r>
      <w:r w:rsidRPr="00245623">
        <w:rPr>
          <w:i/>
          <w:iCs/>
        </w:rPr>
        <w:t>J Neuroinflammation</w:t>
      </w:r>
      <w:r w:rsidRPr="00245623">
        <w:t>. 2014;11(1):201. doi:10.1186/s12974-014-0201-8</w:t>
      </w:r>
    </w:p>
    <w:p w14:paraId="214CA0CD" w14:textId="2F341A5F" w:rsidR="00AC7306" w:rsidRPr="00245623" w:rsidRDefault="00AC7306" w:rsidP="00AC7306">
      <w:pPr>
        <w:pStyle w:val="Bibliographie3"/>
      </w:pPr>
      <w:r w:rsidRPr="00245623">
        <w:t xml:space="preserve">4. </w:t>
      </w:r>
      <w:r w:rsidRPr="00245623">
        <w:tab/>
        <w:t xml:space="preserve">Khandelwal PJ, Herman AM, Moussa CE-H. Inflammation in the early stages of neurodegenerative pathology. </w:t>
      </w:r>
      <w:r w:rsidRPr="00245623">
        <w:rPr>
          <w:i/>
          <w:iCs/>
        </w:rPr>
        <w:t>J Neuroimmunol</w:t>
      </w:r>
      <w:r w:rsidRPr="00245623">
        <w:t>. 2011;238(1-2):1-11. doi:10.1016/j.jneuroim.2011.07.002</w:t>
      </w:r>
    </w:p>
    <w:p w14:paraId="13C1AD38" w14:textId="6BF1ABAC" w:rsidR="00AC7306" w:rsidRPr="00245623" w:rsidRDefault="00AC7306" w:rsidP="00AC7306">
      <w:pPr>
        <w:pStyle w:val="Bibliographie3"/>
      </w:pPr>
      <w:r w:rsidRPr="00245623">
        <w:t xml:space="preserve">5. </w:t>
      </w:r>
      <w:r w:rsidRPr="00245623">
        <w:tab/>
        <w:t xml:space="preserve">Alexander DC, Dyrby TB, Nilsson M, Zhang H. Imaging brain microstructure with diffusion MRI: practicality and applications. </w:t>
      </w:r>
      <w:r w:rsidRPr="00245623">
        <w:rPr>
          <w:i/>
          <w:iCs/>
        </w:rPr>
        <w:t>NMR</w:t>
      </w:r>
      <w:r w:rsidR="00CA7C7B" w:rsidRPr="00245623">
        <w:rPr>
          <w:i/>
          <w:iCs/>
        </w:rPr>
        <w:t xml:space="preserve"> </w:t>
      </w:r>
      <w:r w:rsidRPr="00245623">
        <w:rPr>
          <w:i/>
          <w:iCs/>
        </w:rPr>
        <w:t>Biomed</w:t>
      </w:r>
      <w:r w:rsidRPr="00245623">
        <w:t>. 2019;32(4):e3841. doi:10.1002/nbm.3841</w:t>
      </w:r>
    </w:p>
    <w:p w14:paraId="081F0188" w14:textId="7AA4C540" w:rsidR="00AC7306" w:rsidRPr="00245623" w:rsidRDefault="00AC7306" w:rsidP="00AC7306">
      <w:pPr>
        <w:pStyle w:val="Bibliographie3"/>
        <w:rPr>
          <w:lang w:val="fr-FR"/>
        </w:rPr>
      </w:pPr>
      <w:r w:rsidRPr="00245623">
        <w:t xml:space="preserve">6. </w:t>
      </w:r>
      <w:r w:rsidRPr="00245623">
        <w:tab/>
        <w:t xml:space="preserve">Jelescu IO, Budde MD. Design and </w:t>
      </w:r>
      <w:r w:rsidR="00CA7C7B" w:rsidRPr="00245623">
        <w:t>v</w:t>
      </w:r>
      <w:r w:rsidRPr="00245623">
        <w:t xml:space="preserve">alidation of </w:t>
      </w:r>
      <w:r w:rsidR="00CA7C7B" w:rsidRPr="00245623">
        <w:t>d</w:t>
      </w:r>
      <w:r w:rsidRPr="00245623">
        <w:t xml:space="preserve">iffusion MRI </w:t>
      </w:r>
      <w:r w:rsidR="00CA7C7B" w:rsidRPr="00245623">
        <w:t>m</w:t>
      </w:r>
      <w:r w:rsidRPr="00245623">
        <w:t xml:space="preserve">odels of </w:t>
      </w:r>
      <w:r w:rsidR="00CA7C7B" w:rsidRPr="00245623">
        <w:t>w</w:t>
      </w:r>
      <w:r w:rsidRPr="00245623">
        <w:t xml:space="preserve">hite </w:t>
      </w:r>
      <w:r w:rsidR="00CA7C7B" w:rsidRPr="00245623">
        <w:t>m</w:t>
      </w:r>
      <w:r w:rsidRPr="00245623">
        <w:t xml:space="preserve">atter. </w:t>
      </w:r>
      <w:r w:rsidRPr="00245623">
        <w:rPr>
          <w:i/>
          <w:iCs/>
          <w:lang w:val="fr-FR"/>
        </w:rPr>
        <w:t>Front Phys</w:t>
      </w:r>
      <w:r w:rsidRPr="00245623">
        <w:rPr>
          <w:lang w:val="fr-FR"/>
        </w:rPr>
        <w:t>. 2017;5:61. doi:10.3389/fphy.2017.00061</w:t>
      </w:r>
    </w:p>
    <w:p w14:paraId="288A7D1F" w14:textId="4975E497" w:rsidR="00AC7306" w:rsidRPr="00245623" w:rsidRDefault="00AC7306" w:rsidP="00AC7306">
      <w:pPr>
        <w:pStyle w:val="Bibliographie3"/>
        <w:rPr>
          <w:lang w:val="fr-FR"/>
        </w:rPr>
      </w:pPr>
      <w:r w:rsidRPr="00245623">
        <w:rPr>
          <w:lang w:val="fr-FR"/>
        </w:rPr>
        <w:t xml:space="preserve">7. </w:t>
      </w:r>
      <w:r w:rsidRPr="00245623">
        <w:rPr>
          <w:lang w:val="fr-FR"/>
        </w:rPr>
        <w:tab/>
        <w:t xml:space="preserve">Öz G, Alger JR, Barker PB, et al. </w:t>
      </w:r>
      <w:r w:rsidRPr="00245623">
        <w:t xml:space="preserve">Clinical </w:t>
      </w:r>
      <w:r w:rsidR="00CA7C7B" w:rsidRPr="00245623">
        <w:t>p</w:t>
      </w:r>
      <w:r w:rsidRPr="00245623">
        <w:t xml:space="preserve">roton MR Spectroscopy in </w:t>
      </w:r>
      <w:r w:rsidR="00CA7C7B" w:rsidRPr="00245623">
        <w:t>c</w:t>
      </w:r>
      <w:r w:rsidRPr="00245623">
        <w:t xml:space="preserve">entral </w:t>
      </w:r>
      <w:r w:rsidR="00CA7C7B" w:rsidRPr="00245623">
        <w:t>n</w:t>
      </w:r>
      <w:r w:rsidRPr="00245623">
        <w:t xml:space="preserve">ervous </w:t>
      </w:r>
      <w:r w:rsidR="00CA7C7B" w:rsidRPr="00245623">
        <w:t>s</w:t>
      </w:r>
      <w:r w:rsidRPr="00245623">
        <w:t xml:space="preserve">ystem </w:t>
      </w:r>
      <w:r w:rsidR="00CA7C7B" w:rsidRPr="00245623">
        <w:t>d</w:t>
      </w:r>
      <w:r w:rsidRPr="00245623">
        <w:t xml:space="preserve">isorders. </w:t>
      </w:r>
      <w:r w:rsidRPr="00245623">
        <w:rPr>
          <w:i/>
          <w:iCs/>
          <w:lang w:val="fr-FR"/>
        </w:rPr>
        <w:t>Radiology</w:t>
      </w:r>
      <w:r w:rsidRPr="00245623">
        <w:rPr>
          <w:lang w:val="fr-FR"/>
        </w:rPr>
        <w:t>. 2014;270(3):658-679. doi:10.1148/radiol.13130531</w:t>
      </w:r>
    </w:p>
    <w:p w14:paraId="63EEE95F" w14:textId="77777777" w:rsidR="00AC7306" w:rsidRPr="00245623" w:rsidRDefault="00AC7306" w:rsidP="00AC7306">
      <w:pPr>
        <w:pStyle w:val="Bibliographie3"/>
      </w:pPr>
      <w:r w:rsidRPr="00245623">
        <w:rPr>
          <w:lang w:val="fr-FR"/>
        </w:rPr>
        <w:lastRenderedPageBreak/>
        <w:t xml:space="preserve">8. </w:t>
      </w:r>
      <w:r w:rsidRPr="00245623">
        <w:rPr>
          <w:lang w:val="fr-FR"/>
        </w:rPr>
        <w:tab/>
        <w:t xml:space="preserve">Orije J, Kara F, Guglielmetti C, et al. </w:t>
      </w:r>
      <w:r w:rsidRPr="00245623">
        <w:t xml:space="preserve">Longitudinal monitoring of metabolic alterations in cuprizone mouse model of multiple sclerosis using 1H-magnetic resonance spectroscopy. </w:t>
      </w:r>
      <w:r w:rsidRPr="00245623">
        <w:rPr>
          <w:i/>
          <w:iCs/>
        </w:rPr>
        <w:t>NeuroImage</w:t>
      </w:r>
      <w:r w:rsidRPr="00245623">
        <w:t>. 2015;114:128-135. doi:10.1016/j.neuroimage.2015.04.012</w:t>
      </w:r>
    </w:p>
    <w:p w14:paraId="5F7BDCEB" w14:textId="77777777" w:rsidR="00AC7306" w:rsidRPr="00245623" w:rsidRDefault="00AC7306" w:rsidP="00AC7306">
      <w:pPr>
        <w:pStyle w:val="Bibliographie3"/>
      </w:pPr>
      <w:r w:rsidRPr="00245623">
        <w:t xml:space="preserve">9. </w:t>
      </w:r>
      <w:r w:rsidRPr="00245623">
        <w:tab/>
        <w:t xml:space="preserve">Gudi V, Gingele S, Skripuletz T, Stangel M. Glial response during cuprizone-induced de- and remyelination in the CNS: lessons learned. </w:t>
      </w:r>
      <w:r w:rsidRPr="00245623">
        <w:rPr>
          <w:i/>
          <w:iCs/>
        </w:rPr>
        <w:t>Front Cell Neurosci</w:t>
      </w:r>
      <w:r w:rsidRPr="00245623">
        <w:t>. 2014;8. doi:10.3389/fncel.2014.00073</w:t>
      </w:r>
    </w:p>
    <w:p w14:paraId="2DD7036E" w14:textId="59C4E77F" w:rsidR="00AC7306" w:rsidRPr="00245623" w:rsidRDefault="00AC7306" w:rsidP="00AC7306">
      <w:pPr>
        <w:pStyle w:val="Bibliographie3"/>
      </w:pPr>
      <w:r w:rsidRPr="00245623">
        <w:t xml:space="preserve">10. </w:t>
      </w:r>
      <w:r w:rsidRPr="00245623">
        <w:tab/>
        <w:t xml:space="preserve">Matsushima GK, Morell P. The </w:t>
      </w:r>
      <w:r w:rsidR="00305D8C" w:rsidRPr="00245623">
        <w:t>n</w:t>
      </w:r>
      <w:r w:rsidRPr="00245623">
        <w:t xml:space="preserve">eurotoxicant, </w:t>
      </w:r>
      <w:r w:rsidR="00305D8C" w:rsidRPr="00245623">
        <w:t>c</w:t>
      </w:r>
      <w:r w:rsidRPr="00245623">
        <w:t xml:space="preserve">uprizone, as a </w:t>
      </w:r>
      <w:r w:rsidR="00305D8C" w:rsidRPr="00245623">
        <w:t>m</w:t>
      </w:r>
      <w:r w:rsidRPr="00245623">
        <w:t xml:space="preserve">odel to </w:t>
      </w:r>
      <w:r w:rsidR="00305D8C" w:rsidRPr="00245623">
        <w:t>s</w:t>
      </w:r>
      <w:r w:rsidRPr="00245623">
        <w:t xml:space="preserve">tudy </w:t>
      </w:r>
      <w:r w:rsidR="00305D8C" w:rsidRPr="00245623">
        <w:t>d</w:t>
      </w:r>
      <w:r w:rsidRPr="00245623">
        <w:t xml:space="preserve">emyelination and </w:t>
      </w:r>
      <w:r w:rsidR="00305D8C" w:rsidRPr="00245623">
        <w:t>r</w:t>
      </w:r>
      <w:r w:rsidRPr="00245623">
        <w:t xml:space="preserve">emyelination in the </w:t>
      </w:r>
      <w:r w:rsidR="00305D8C" w:rsidRPr="00245623">
        <w:t>c</w:t>
      </w:r>
      <w:r w:rsidRPr="00245623">
        <w:t xml:space="preserve">entral </w:t>
      </w:r>
      <w:r w:rsidR="00305D8C" w:rsidRPr="00245623">
        <w:t>n</w:t>
      </w:r>
      <w:r w:rsidRPr="00245623">
        <w:t xml:space="preserve">ervous </w:t>
      </w:r>
      <w:r w:rsidR="00305D8C" w:rsidRPr="00245623">
        <w:t>s</w:t>
      </w:r>
      <w:r w:rsidRPr="00245623">
        <w:t xml:space="preserve">ystem. </w:t>
      </w:r>
      <w:r w:rsidRPr="00245623">
        <w:rPr>
          <w:i/>
          <w:iCs/>
        </w:rPr>
        <w:t>Brain Pathol</w:t>
      </w:r>
      <w:r w:rsidRPr="00245623">
        <w:t>. 2006;11(1):107-116. doi:10.1111/j.1750-3639.2001.tb00385.x</w:t>
      </w:r>
    </w:p>
    <w:p w14:paraId="2CAB678E" w14:textId="3C7F8289" w:rsidR="00AC7306" w:rsidRPr="00245623" w:rsidRDefault="00AC7306" w:rsidP="00AC7306">
      <w:pPr>
        <w:pStyle w:val="Bibliographie3"/>
      </w:pPr>
      <w:r w:rsidRPr="00245623">
        <w:t xml:space="preserve">11. </w:t>
      </w:r>
      <w:r w:rsidRPr="00245623">
        <w:tab/>
        <w:t xml:space="preserve">Remington LT, Babcock AA, Zehntner SP, Owens T. Microglial </w:t>
      </w:r>
      <w:r w:rsidR="00305D8C" w:rsidRPr="00245623">
        <w:t>r</w:t>
      </w:r>
      <w:r w:rsidRPr="00245623">
        <w:t xml:space="preserve">ecruitment, </w:t>
      </w:r>
      <w:r w:rsidR="00305D8C" w:rsidRPr="00245623">
        <w:t>a</w:t>
      </w:r>
      <w:r w:rsidRPr="00245623">
        <w:t xml:space="preserve">ctivation, and </w:t>
      </w:r>
      <w:r w:rsidR="00305D8C" w:rsidRPr="00245623">
        <w:t>p</w:t>
      </w:r>
      <w:r w:rsidRPr="00245623">
        <w:t xml:space="preserve">roliferation in </w:t>
      </w:r>
      <w:r w:rsidR="00305D8C" w:rsidRPr="00245623">
        <w:t>r</w:t>
      </w:r>
      <w:r w:rsidRPr="00245623">
        <w:t xml:space="preserve">esponse to </w:t>
      </w:r>
      <w:r w:rsidR="00305D8C" w:rsidRPr="00245623">
        <w:t>p</w:t>
      </w:r>
      <w:r w:rsidRPr="00245623">
        <w:t xml:space="preserve">rimary </w:t>
      </w:r>
      <w:r w:rsidR="00305D8C" w:rsidRPr="00245623">
        <w:t>d</w:t>
      </w:r>
      <w:r w:rsidRPr="00245623">
        <w:t xml:space="preserve">emyelination. </w:t>
      </w:r>
      <w:r w:rsidRPr="00245623">
        <w:rPr>
          <w:i/>
          <w:iCs/>
        </w:rPr>
        <w:t>American J Pathol</w:t>
      </w:r>
      <w:r w:rsidRPr="00245623">
        <w:t>. 2007;170(5):1713-1724. doi:10.2353/ajpath.2007.060783</w:t>
      </w:r>
    </w:p>
    <w:p w14:paraId="46B08F32" w14:textId="7211EC3C" w:rsidR="00AC7306" w:rsidRPr="00245623" w:rsidRDefault="00AC7306" w:rsidP="00AC7306">
      <w:pPr>
        <w:pStyle w:val="Bibliographie3"/>
      </w:pPr>
      <w:r w:rsidRPr="00245623">
        <w:t xml:space="preserve">12. </w:t>
      </w:r>
      <w:r w:rsidRPr="00245623">
        <w:tab/>
        <w:t xml:space="preserve">Morell P, Barrett CV, Mason JL, et al. Gene </w:t>
      </w:r>
      <w:r w:rsidR="00305D8C" w:rsidRPr="00245623">
        <w:t>e</w:t>
      </w:r>
      <w:r w:rsidRPr="00245623">
        <w:t xml:space="preserve">xpression in </w:t>
      </w:r>
      <w:r w:rsidR="00305D8C" w:rsidRPr="00245623">
        <w:t>b</w:t>
      </w:r>
      <w:r w:rsidRPr="00245623">
        <w:t xml:space="preserve">rain during </w:t>
      </w:r>
      <w:r w:rsidR="00305D8C" w:rsidRPr="00245623">
        <w:t>c</w:t>
      </w:r>
      <w:r w:rsidRPr="00245623">
        <w:t>uprizone-</w:t>
      </w:r>
      <w:r w:rsidR="00305D8C" w:rsidRPr="00245623">
        <w:t>i</w:t>
      </w:r>
      <w:r w:rsidRPr="00245623">
        <w:t xml:space="preserve">nduced </w:t>
      </w:r>
      <w:r w:rsidR="00305D8C" w:rsidRPr="00245623">
        <w:t>d</w:t>
      </w:r>
      <w:r w:rsidRPr="00245623">
        <w:t xml:space="preserve">emyelination and </w:t>
      </w:r>
      <w:r w:rsidR="00305D8C" w:rsidRPr="00245623">
        <w:t>r</w:t>
      </w:r>
      <w:r w:rsidRPr="00245623">
        <w:t xml:space="preserve">emyelination. </w:t>
      </w:r>
      <w:r w:rsidRPr="00245623">
        <w:rPr>
          <w:i/>
          <w:iCs/>
        </w:rPr>
        <w:t>Mol</w:t>
      </w:r>
      <w:r w:rsidR="00305D8C" w:rsidRPr="00245623">
        <w:rPr>
          <w:i/>
          <w:iCs/>
        </w:rPr>
        <w:t xml:space="preserve"> </w:t>
      </w:r>
      <w:r w:rsidRPr="00245623">
        <w:rPr>
          <w:i/>
          <w:iCs/>
        </w:rPr>
        <w:t>Cell Neurosci</w:t>
      </w:r>
      <w:r w:rsidRPr="00245623">
        <w:t>. 1998;12(4-5):220-227. doi:10.1006/mcne.1998.0715</w:t>
      </w:r>
    </w:p>
    <w:p w14:paraId="7E725E7B" w14:textId="111BF87E" w:rsidR="00AC7306" w:rsidRPr="00245623" w:rsidRDefault="00AC7306" w:rsidP="00AC7306">
      <w:pPr>
        <w:pStyle w:val="Bibliographie3"/>
        <w:rPr>
          <w:lang w:val="fr-FR"/>
        </w:rPr>
      </w:pPr>
      <w:r w:rsidRPr="00245623">
        <w:t xml:space="preserve">13. </w:t>
      </w:r>
      <w:r w:rsidRPr="00245623">
        <w:tab/>
        <w:t xml:space="preserve">Goldberg J, Clarner T, Beyer C, Kipp M. Anatomical </w:t>
      </w:r>
      <w:r w:rsidR="00305D8C" w:rsidRPr="00245623">
        <w:t>d</w:t>
      </w:r>
      <w:r w:rsidRPr="00245623">
        <w:t xml:space="preserve">istribution of </w:t>
      </w:r>
      <w:r w:rsidR="00305D8C" w:rsidRPr="00245623">
        <w:t>c</w:t>
      </w:r>
      <w:r w:rsidRPr="00245623">
        <w:t>uprizone-</w:t>
      </w:r>
      <w:r w:rsidR="00305D8C" w:rsidRPr="00245623">
        <w:t>i</w:t>
      </w:r>
      <w:r w:rsidRPr="00245623">
        <w:t xml:space="preserve">nduced </w:t>
      </w:r>
      <w:r w:rsidR="00305D8C" w:rsidRPr="00245623">
        <w:t>l</w:t>
      </w:r>
      <w:r w:rsidRPr="00245623">
        <w:t xml:space="preserve">esions in C57BL6 Mice. </w:t>
      </w:r>
      <w:r w:rsidRPr="00245623">
        <w:rPr>
          <w:i/>
          <w:iCs/>
          <w:lang w:val="fr-FR"/>
        </w:rPr>
        <w:t>J Mol Neurosci</w:t>
      </w:r>
      <w:r w:rsidRPr="00245623">
        <w:rPr>
          <w:lang w:val="fr-FR"/>
        </w:rPr>
        <w:t>. 2015;57(2):166-175. doi:10.1007/s12031-015-0595-5</w:t>
      </w:r>
    </w:p>
    <w:p w14:paraId="049F956A" w14:textId="5C9BDB8A" w:rsidR="00AC7306" w:rsidRPr="00245623" w:rsidRDefault="00AC7306" w:rsidP="00AC7306">
      <w:pPr>
        <w:pStyle w:val="Bibliographie3"/>
      </w:pPr>
      <w:r w:rsidRPr="00245623">
        <w:rPr>
          <w:lang w:val="fr-FR"/>
        </w:rPr>
        <w:t xml:space="preserve">14. </w:t>
      </w:r>
      <w:r w:rsidRPr="00245623">
        <w:rPr>
          <w:lang w:val="fr-FR"/>
        </w:rPr>
        <w:tab/>
        <w:t xml:space="preserve">Gudi V, Moharregh-Khiabani D, Skripuletz T, et al. </w:t>
      </w:r>
      <w:r w:rsidRPr="00245623">
        <w:t xml:space="preserve">Regional differences between grey and white matter in cuprizone induced demyelination. </w:t>
      </w:r>
      <w:r w:rsidRPr="00245623">
        <w:rPr>
          <w:i/>
          <w:iCs/>
        </w:rPr>
        <w:t>Brain Res</w:t>
      </w:r>
      <w:r w:rsidRPr="00245623">
        <w:t>. 2009;1283:127-138. doi:10.1016/j.brainres.2009.06.005</w:t>
      </w:r>
    </w:p>
    <w:p w14:paraId="7933B961" w14:textId="4B5852DB" w:rsidR="00AC7306" w:rsidRPr="00245623" w:rsidRDefault="00AC7306" w:rsidP="00AC7306">
      <w:pPr>
        <w:pStyle w:val="Bibliographie3"/>
      </w:pPr>
      <w:r w:rsidRPr="00245623">
        <w:t xml:space="preserve">15. </w:t>
      </w:r>
      <w:r w:rsidRPr="00245623">
        <w:tab/>
        <w:t xml:space="preserve">Nicolay K, Braun KPJ, de Graaf RA, Dijkhuizen RM, Kruiskamp MJ. Diffusion NMR spectroscopy. </w:t>
      </w:r>
      <w:r w:rsidRPr="00245623">
        <w:rPr>
          <w:i/>
          <w:iCs/>
        </w:rPr>
        <w:t>NMR Biomed</w:t>
      </w:r>
      <w:r w:rsidRPr="00245623">
        <w:t>. 2001;14(2):94-111. doi:10.1002/nbm.686</w:t>
      </w:r>
    </w:p>
    <w:p w14:paraId="505BAF14" w14:textId="77777777" w:rsidR="00AC7306" w:rsidRPr="00245623" w:rsidRDefault="00AC7306" w:rsidP="00AC7306">
      <w:pPr>
        <w:pStyle w:val="Bibliographie3"/>
      </w:pPr>
      <w:r w:rsidRPr="00245623">
        <w:t xml:space="preserve">16. </w:t>
      </w:r>
      <w:r w:rsidRPr="00245623">
        <w:tab/>
        <w:t xml:space="preserve">Palombo M, Shemesh N, Ronen I, Valette J. Insights into brain microstructure from in vivo DW-MRS. </w:t>
      </w:r>
      <w:r w:rsidRPr="00245623">
        <w:rPr>
          <w:i/>
          <w:iCs/>
        </w:rPr>
        <w:t>NeuroImage</w:t>
      </w:r>
      <w:r w:rsidRPr="00245623">
        <w:t>. 2018;182:97-116. doi:10.1016/j.neuroimage.2017.11.028</w:t>
      </w:r>
    </w:p>
    <w:p w14:paraId="68588162" w14:textId="77777777" w:rsidR="00AC7306" w:rsidRPr="00245623" w:rsidRDefault="00AC7306" w:rsidP="00AC7306">
      <w:pPr>
        <w:pStyle w:val="Bibliographie3"/>
      </w:pPr>
      <w:r w:rsidRPr="00245623">
        <w:t xml:space="preserve">17. </w:t>
      </w:r>
      <w:r w:rsidRPr="00245623">
        <w:tab/>
        <w:t xml:space="preserve">Ronen I, Valette J. Diffusion-Weighted Magnetic Resonance Spectroscopy. In: Harris RK, Wasylishen RL, eds. </w:t>
      </w:r>
      <w:r w:rsidRPr="00245623">
        <w:rPr>
          <w:i/>
          <w:iCs/>
        </w:rPr>
        <w:t>EMagRes</w:t>
      </w:r>
      <w:r w:rsidRPr="00245623">
        <w:t>. John Wiley &amp; Sons, Ltd; 2015:733-750. doi:10.1002/9780470034590.emrstm1471</w:t>
      </w:r>
    </w:p>
    <w:p w14:paraId="266874C1" w14:textId="77777777" w:rsidR="00AC7306" w:rsidRPr="00245623" w:rsidRDefault="00AC7306" w:rsidP="00AC7306">
      <w:pPr>
        <w:pStyle w:val="Bibliographie3"/>
        <w:rPr>
          <w:lang w:val="fr-FR"/>
        </w:rPr>
      </w:pPr>
      <w:r w:rsidRPr="00245623">
        <w:t xml:space="preserve">18. </w:t>
      </w:r>
      <w:r w:rsidRPr="00245623">
        <w:tab/>
        <w:t xml:space="preserve">Ercan E, Magro-Checa C, Valabregue R, et al. Glial and axonal changes in systemic lupus erythematosus measured with diffusion of intracellular metabolites. </w:t>
      </w:r>
      <w:r w:rsidRPr="00245623">
        <w:rPr>
          <w:i/>
          <w:iCs/>
          <w:lang w:val="fr-FR"/>
        </w:rPr>
        <w:t>Brain</w:t>
      </w:r>
      <w:r w:rsidRPr="00245623">
        <w:rPr>
          <w:lang w:val="fr-FR"/>
        </w:rPr>
        <w:t>. 2016;139(5):1447-1457. doi:10.1093/brain/aww031</w:t>
      </w:r>
    </w:p>
    <w:p w14:paraId="1053D606" w14:textId="77777777" w:rsidR="00AC7306" w:rsidRPr="00245623" w:rsidRDefault="00AC7306" w:rsidP="00AC7306">
      <w:pPr>
        <w:pStyle w:val="Bibliographie3"/>
      </w:pPr>
      <w:r w:rsidRPr="00245623">
        <w:rPr>
          <w:lang w:val="fr-FR"/>
        </w:rPr>
        <w:t xml:space="preserve">19. </w:t>
      </w:r>
      <w:r w:rsidRPr="00245623">
        <w:rPr>
          <w:lang w:val="fr-FR"/>
        </w:rPr>
        <w:tab/>
        <w:t xml:space="preserve">Ligneul C, Palombo M, Hernández-Garzón E, et al. </w:t>
      </w:r>
      <w:r w:rsidRPr="00245623">
        <w:t xml:space="preserve">Diffusion-weighted magnetic resonance spectroscopy enables cell-specific monitoring of astrocyte reactivity in vivo. </w:t>
      </w:r>
      <w:r w:rsidRPr="00245623">
        <w:rPr>
          <w:i/>
          <w:iCs/>
        </w:rPr>
        <w:t>NeuroImage</w:t>
      </w:r>
      <w:r w:rsidRPr="00245623">
        <w:t>. 2019;191:457-469. doi:10.1016/j.neuroimage.2019.02.046</w:t>
      </w:r>
    </w:p>
    <w:p w14:paraId="7B4669B6" w14:textId="476EDA1D" w:rsidR="00AC7306" w:rsidRPr="00245623" w:rsidRDefault="00AC7306" w:rsidP="00AC7306">
      <w:pPr>
        <w:pStyle w:val="Bibliographie3"/>
      </w:pPr>
      <w:r w:rsidRPr="00245623">
        <w:t xml:space="preserve">20. </w:t>
      </w:r>
      <w:r w:rsidRPr="00245623">
        <w:tab/>
        <w:t xml:space="preserve">Wood ET, Ronen I, Techawiboonwong A, et al. Investigating </w:t>
      </w:r>
      <w:r w:rsidR="006209EF" w:rsidRPr="00245623">
        <w:t>a</w:t>
      </w:r>
      <w:r w:rsidRPr="00245623">
        <w:t xml:space="preserve">xonal </w:t>
      </w:r>
      <w:r w:rsidR="006209EF" w:rsidRPr="00245623">
        <w:t>d</w:t>
      </w:r>
      <w:r w:rsidRPr="00245623">
        <w:t xml:space="preserve">amage in </w:t>
      </w:r>
      <w:r w:rsidR="006209EF" w:rsidRPr="00245623">
        <w:t>m</w:t>
      </w:r>
      <w:r w:rsidRPr="00245623">
        <w:t xml:space="preserve">ultiple </w:t>
      </w:r>
      <w:r w:rsidR="006209EF" w:rsidRPr="00245623">
        <w:t>s</w:t>
      </w:r>
      <w:r w:rsidRPr="00245623">
        <w:t xml:space="preserve">clerosis by </w:t>
      </w:r>
      <w:r w:rsidR="006209EF" w:rsidRPr="00245623">
        <w:t>d</w:t>
      </w:r>
      <w:r w:rsidRPr="00245623">
        <w:t xml:space="preserve">iffusion </w:t>
      </w:r>
      <w:r w:rsidR="006209EF" w:rsidRPr="00245623">
        <w:t>t</w:t>
      </w:r>
      <w:r w:rsidRPr="00245623">
        <w:t xml:space="preserve">ensor </w:t>
      </w:r>
      <w:r w:rsidR="006209EF" w:rsidRPr="00245623">
        <w:t>s</w:t>
      </w:r>
      <w:r w:rsidRPr="00245623">
        <w:t xml:space="preserve">pectroscopy. </w:t>
      </w:r>
      <w:r w:rsidRPr="00245623">
        <w:rPr>
          <w:i/>
          <w:iCs/>
        </w:rPr>
        <w:t>J</w:t>
      </w:r>
      <w:r w:rsidR="006209EF" w:rsidRPr="00245623">
        <w:rPr>
          <w:i/>
          <w:iCs/>
        </w:rPr>
        <w:t xml:space="preserve"> </w:t>
      </w:r>
      <w:r w:rsidRPr="00245623">
        <w:rPr>
          <w:i/>
          <w:iCs/>
        </w:rPr>
        <w:t>Neurosci</w:t>
      </w:r>
      <w:r w:rsidRPr="00245623">
        <w:t>. 2012;32(19):6665-6669. doi:10.1523/JNEUROSCI.0044-12.2012</w:t>
      </w:r>
    </w:p>
    <w:p w14:paraId="57525A89" w14:textId="77777777" w:rsidR="00AC7306" w:rsidRPr="00245623" w:rsidRDefault="00AC7306" w:rsidP="00AC7306">
      <w:pPr>
        <w:pStyle w:val="Bibliographie3"/>
      </w:pPr>
      <w:r w:rsidRPr="00245623">
        <w:t xml:space="preserve">21. </w:t>
      </w:r>
      <w:r w:rsidRPr="00245623">
        <w:tab/>
        <w:t xml:space="preserve">Kipp M, Clarner T, Dang J, Copray S, Beyer C. The cuprizone animal model: new insights into an old story. </w:t>
      </w:r>
      <w:r w:rsidRPr="00245623">
        <w:rPr>
          <w:i/>
          <w:iCs/>
        </w:rPr>
        <w:t>Acta Neuropathol</w:t>
      </w:r>
      <w:r w:rsidRPr="00245623">
        <w:t>. 2009;118(6):723-736. doi:10.1007/s00401-009-0591-3</w:t>
      </w:r>
    </w:p>
    <w:p w14:paraId="0D681782" w14:textId="30042C27" w:rsidR="00AC7306" w:rsidRPr="00245623" w:rsidRDefault="00AC7306" w:rsidP="00AC7306">
      <w:pPr>
        <w:pStyle w:val="Bibliographie3"/>
      </w:pPr>
      <w:r w:rsidRPr="00245623">
        <w:lastRenderedPageBreak/>
        <w:t xml:space="preserve">22. </w:t>
      </w:r>
      <w:r w:rsidRPr="00245623">
        <w:tab/>
        <w:t xml:space="preserve">Skripuletz T, Gudi V, Hackstette D, Stangel M. De- and remyelination in the CNS white and grey matter induced by cuprizone: The old, the new, and the unexpected. </w:t>
      </w:r>
      <w:r w:rsidR="006209EF" w:rsidRPr="00245623">
        <w:rPr>
          <w:i/>
        </w:rPr>
        <w:t>Histol Histopathol</w:t>
      </w:r>
      <w:r w:rsidRPr="00245623">
        <w:t xml:space="preserve"> 2011</w:t>
      </w:r>
      <w:r w:rsidR="006209EF" w:rsidRPr="00245623">
        <w:t>; 26, 1585-97</w:t>
      </w:r>
      <w:r w:rsidRPr="00245623">
        <w:t>.</w:t>
      </w:r>
      <w:r w:rsidR="006209EF" w:rsidRPr="00245623">
        <w:t xml:space="preserve"> doi: 10.14670/HH-26.1585</w:t>
      </w:r>
    </w:p>
    <w:p w14:paraId="6D5A929E" w14:textId="77777777" w:rsidR="00AC7306" w:rsidRPr="00245623" w:rsidRDefault="00AC7306" w:rsidP="00AC7306">
      <w:pPr>
        <w:pStyle w:val="Bibliographie3"/>
      </w:pPr>
      <w:r w:rsidRPr="00245623">
        <w:t xml:space="preserve">23. </w:t>
      </w:r>
      <w:r w:rsidRPr="00245623">
        <w:tab/>
        <w:t xml:space="preserve">Taylor LC, Gilmore W, Ting JP-Y, Matsushima GK. Cuprizone induces similar demyelination in male and female C57BL/6 mice and results in disruption of the estrous cycle. </w:t>
      </w:r>
      <w:r w:rsidRPr="00245623">
        <w:rPr>
          <w:i/>
          <w:iCs/>
        </w:rPr>
        <w:t>J Neurosci Res</w:t>
      </w:r>
      <w:r w:rsidRPr="00245623">
        <w:t>. 2010;88(2):391-402. doi:10.1002/jnr.22215</w:t>
      </w:r>
    </w:p>
    <w:p w14:paraId="46B7A0AC" w14:textId="4F0F55A4" w:rsidR="00AC7306" w:rsidRPr="00245623" w:rsidRDefault="00AC7306" w:rsidP="00AC7306">
      <w:pPr>
        <w:pStyle w:val="Bibliographie3"/>
      </w:pPr>
      <w:r w:rsidRPr="00245623">
        <w:t xml:space="preserve">24. </w:t>
      </w:r>
      <w:r w:rsidRPr="00245623">
        <w:tab/>
        <w:t xml:space="preserve">Pfeifenbring S, Nessler S, Wegner C, Stadelmann C, Brück W. Remyelination </w:t>
      </w:r>
      <w:r w:rsidR="003871A9" w:rsidRPr="00245623">
        <w:t>a</w:t>
      </w:r>
      <w:r w:rsidRPr="00245623">
        <w:t xml:space="preserve">fter </w:t>
      </w:r>
      <w:r w:rsidR="003871A9" w:rsidRPr="00245623">
        <w:t>c</w:t>
      </w:r>
      <w:r w:rsidRPr="00245623">
        <w:t>uprizone-</w:t>
      </w:r>
      <w:r w:rsidR="003871A9" w:rsidRPr="00245623">
        <w:t>i</w:t>
      </w:r>
      <w:r w:rsidRPr="00245623">
        <w:t xml:space="preserve">nduced </w:t>
      </w:r>
      <w:r w:rsidR="003871A9" w:rsidRPr="00245623">
        <w:t>d</w:t>
      </w:r>
      <w:r w:rsidRPr="00245623">
        <w:t xml:space="preserve">emyelination </w:t>
      </w:r>
      <w:r w:rsidR="003871A9" w:rsidRPr="00245623">
        <w:t>i</w:t>
      </w:r>
      <w:r w:rsidRPr="00245623">
        <w:t xml:space="preserve">s </w:t>
      </w:r>
      <w:r w:rsidR="003871A9" w:rsidRPr="00245623">
        <w:t>a</w:t>
      </w:r>
      <w:r w:rsidRPr="00245623">
        <w:t xml:space="preserve">ccelerated in </w:t>
      </w:r>
      <w:r w:rsidR="003871A9" w:rsidRPr="00245623">
        <w:t>j</w:t>
      </w:r>
      <w:r w:rsidRPr="00245623">
        <w:t xml:space="preserve">uvenile </w:t>
      </w:r>
      <w:r w:rsidR="003871A9" w:rsidRPr="00245623">
        <w:t>m</w:t>
      </w:r>
      <w:r w:rsidRPr="00245623">
        <w:t xml:space="preserve">ice. </w:t>
      </w:r>
      <w:r w:rsidRPr="00245623">
        <w:rPr>
          <w:i/>
          <w:iCs/>
        </w:rPr>
        <w:t>J Neuropathol Exp Neurol</w:t>
      </w:r>
      <w:r w:rsidRPr="00245623">
        <w:t>. 2015;74(8):756-766. doi:10.1097/NEN.0000000000000214</w:t>
      </w:r>
    </w:p>
    <w:p w14:paraId="0D9BC845" w14:textId="43175ADC" w:rsidR="00AC7306" w:rsidRPr="00245623" w:rsidRDefault="00AC7306" w:rsidP="00DB51B0">
      <w:pPr>
        <w:ind w:left="504" w:hanging="504"/>
        <w:rPr>
          <w:lang w:val="en-US"/>
        </w:rPr>
      </w:pPr>
      <w:r w:rsidRPr="00245623">
        <w:rPr>
          <w:lang w:val="en-US"/>
        </w:rPr>
        <w:t xml:space="preserve">25. </w:t>
      </w:r>
      <w:r w:rsidRPr="00245623">
        <w:rPr>
          <w:lang w:val="en-US"/>
        </w:rPr>
        <w:tab/>
        <w:t>Hill I, Palombo M, Santin M, et al. Machine learning based white matter models with permeability: an experimental study in cuprizone treated in-vivo mouse model of axonal demyelination.</w:t>
      </w:r>
      <w:r w:rsidR="00A304EC" w:rsidRPr="00245623">
        <w:rPr>
          <w:lang w:val="en-US"/>
        </w:rPr>
        <w:t xml:space="preserve"> </w:t>
      </w:r>
      <w:r w:rsidR="00A304EC" w:rsidRPr="00245623">
        <w:rPr>
          <w:i/>
          <w:iCs/>
          <w:lang w:val="en-US"/>
        </w:rPr>
        <w:t>NeuroImage</w:t>
      </w:r>
      <w:r w:rsidRPr="00245623">
        <w:rPr>
          <w:lang w:val="en-US"/>
        </w:rPr>
        <w:t>.</w:t>
      </w:r>
      <w:r w:rsidR="00A304EC" w:rsidRPr="00245623">
        <w:rPr>
          <w:lang w:val="en-US"/>
        </w:rPr>
        <w:t xml:space="preserve"> 2021; 224: 117425. </w:t>
      </w:r>
      <w:proofErr w:type="spellStart"/>
      <w:r w:rsidR="00DB51B0" w:rsidRPr="00245623">
        <w:rPr>
          <w:lang w:val="en-US"/>
        </w:rPr>
        <w:t>doi</w:t>
      </w:r>
      <w:proofErr w:type="spellEnd"/>
      <w:r w:rsidR="00DB51B0" w:rsidRPr="00245623">
        <w:rPr>
          <w:lang w:val="en-US"/>
        </w:rPr>
        <w:t xml:space="preserve">: </w:t>
      </w:r>
      <w:hyperlink r:id="rId8" w:tgtFrame="_blank" w:tooltip="Persistent link using digital object identifier" w:history="1">
        <w:r w:rsidR="00DB51B0" w:rsidRPr="00245623">
          <w:rPr>
            <w:rStyle w:val="Lienhypertexte"/>
            <w:color w:val="auto"/>
            <w:u w:val="none"/>
            <w:lang w:val="en-US"/>
          </w:rPr>
          <w:t>10.1016/j.neuroimage.2020.117425</w:t>
        </w:r>
      </w:hyperlink>
    </w:p>
    <w:p w14:paraId="720582C9" w14:textId="77777777" w:rsidR="00DB51B0" w:rsidRPr="00245623" w:rsidRDefault="00DB51B0" w:rsidP="00DB51B0">
      <w:pPr>
        <w:rPr>
          <w:lang w:val="en-US"/>
        </w:rPr>
      </w:pPr>
    </w:p>
    <w:p w14:paraId="2C5EB41E" w14:textId="51264910" w:rsidR="00AC7306" w:rsidRPr="00245623" w:rsidRDefault="00AC7306" w:rsidP="00AC7306">
      <w:pPr>
        <w:pStyle w:val="Bibliographie3"/>
      </w:pPr>
      <w:r w:rsidRPr="00245623">
        <w:t xml:space="preserve">26. </w:t>
      </w:r>
      <w:r w:rsidRPr="00245623">
        <w:tab/>
        <w:t xml:space="preserve">Ligneul C, Palombo M, Valette J. Metabolite diffusion up to very high </w:t>
      </w:r>
      <w:r w:rsidRPr="00245623">
        <w:rPr>
          <w:i/>
          <w:iCs/>
        </w:rPr>
        <w:t>b</w:t>
      </w:r>
      <w:r w:rsidRPr="00245623">
        <w:t xml:space="preserve"> in the mouse brain in vivo: </w:t>
      </w:r>
      <w:r w:rsidR="003871A9" w:rsidRPr="00245623">
        <w:t>r</w:t>
      </w:r>
      <w:r w:rsidRPr="00245623">
        <w:t xml:space="preserve">evisiting the potential correlation between relaxation and diffusion properties. </w:t>
      </w:r>
      <w:r w:rsidRPr="00245623">
        <w:rPr>
          <w:i/>
          <w:iCs/>
        </w:rPr>
        <w:t>Magn Reson</w:t>
      </w:r>
      <w:r w:rsidR="003871A9" w:rsidRPr="00245623">
        <w:rPr>
          <w:i/>
          <w:iCs/>
        </w:rPr>
        <w:t xml:space="preserve"> </w:t>
      </w:r>
      <w:r w:rsidRPr="00245623">
        <w:rPr>
          <w:i/>
          <w:iCs/>
        </w:rPr>
        <w:t>Med</w:t>
      </w:r>
      <w:r w:rsidRPr="00245623">
        <w:t>. 2017;77(4):1390-1398. doi:10.1002/mrm.26217</w:t>
      </w:r>
    </w:p>
    <w:p w14:paraId="4830AD74" w14:textId="712D1C20" w:rsidR="00AC7306" w:rsidRPr="00245623" w:rsidRDefault="00AC7306" w:rsidP="00AC7306">
      <w:pPr>
        <w:pStyle w:val="Bibliographie3"/>
      </w:pPr>
      <w:r w:rsidRPr="00245623">
        <w:t xml:space="preserve">27. </w:t>
      </w:r>
      <w:r w:rsidRPr="00245623">
        <w:tab/>
        <w:t xml:space="preserve">Tkac I, Starcuk Z, Choi I-Y, Gruetter R. In vivo </w:t>
      </w:r>
      <w:r w:rsidRPr="00245623">
        <w:rPr>
          <w:vertAlign w:val="superscript"/>
        </w:rPr>
        <w:t>1</w:t>
      </w:r>
      <w:r w:rsidRPr="00245623">
        <w:t xml:space="preserve">H NMR spectroscopy of rat brain at 1 ms echo time. </w:t>
      </w:r>
      <w:r w:rsidRPr="00245623">
        <w:rPr>
          <w:i/>
          <w:iCs/>
        </w:rPr>
        <w:t>Magn Reson Med</w:t>
      </w:r>
      <w:r w:rsidRPr="00245623">
        <w:t>. 1999;41:649–656.</w:t>
      </w:r>
    </w:p>
    <w:p w14:paraId="0E7B0AB8" w14:textId="5BA156F6" w:rsidR="00AC7306" w:rsidRPr="00245623" w:rsidRDefault="00AC7306" w:rsidP="00AC7306">
      <w:pPr>
        <w:pStyle w:val="Bibliographie3"/>
      </w:pPr>
      <w:r w:rsidRPr="00245623">
        <w:t xml:space="preserve">28. </w:t>
      </w:r>
      <w:r w:rsidRPr="00245623">
        <w:tab/>
        <w:t xml:space="preserve">de Brouwer H. Evaluation of algorithms for automated phase correction of NMR spectra. </w:t>
      </w:r>
      <w:r w:rsidRPr="00245623">
        <w:rPr>
          <w:i/>
          <w:iCs/>
        </w:rPr>
        <w:t>J</w:t>
      </w:r>
      <w:r w:rsidR="006C22D3" w:rsidRPr="00245623">
        <w:rPr>
          <w:i/>
          <w:iCs/>
        </w:rPr>
        <w:t xml:space="preserve"> </w:t>
      </w:r>
      <w:r w:rsidRPr="00245623">
        <w:rPr>
          <w:i/>
          <w:iCs/>
        </w:rPr>
        <w:t>Magn Reso</w:t>
      </w:r>
      <w:r w:rsidR="006C22D3" w:rsidRPr="00245623">
        <w:rPr>
          <w:i/>
          <w:iCs/>
        </w:rPr>
        <w:t>n</w:t>
      </w:r>
      <w:r w:rsidRPr="00245623">
        <w:t>. 2009;201(2):230-238. doi:10.1016/j.jmr.2009.09.017</w:t>
      </w:r>
    </w:p>
    <w:p w14:paraId="2156E493" w14:textId="30189C92" w:rsidR="00AC7306" w:rsidRPr="00245623" w:rsidRDefault="00AC7306" w:rsidP="00AC7306">
      <w:pPr>
        <w:pStyle w:val="Bibliographie3"/>
      </w:pPr>
      <w:r w:rsidRPr="00245623">
        <w:t xml:space="preserve">29. </w:t>
      </w:r>
      <w:r w:rsidRPr="00245623">
        <w:tab/>
        <w:t xml:space="preserve">Provencher SW. Estimation of metabolite concentrations from localized in vivo proton NMR spectra. </w:t>
      </w:r>
      <w:r w:rsidRPr="00245623">
        <w:rPr>
          <w:i/>
          <w:iCs/>
        </w:rPr>
        <w:t xml:space="preserve">Magn </w:t>
      </w:r>
      <w:r w:rsidR="006C22D3" w:rsidRPr="00245623">
        <w:rPr>
          <w:i/>
          <w:iCs/>
        </w:rPr>
        <w:t>Reson</w:t>
      </w:r>
      <w:r w:rsidRPr="00245623">
        <w:rPr>
          <w:i/>
          <w:iCs/>
        </w:rPr>
        <w:t xml:space="preserve"> </w:t>
      </w:r>
      <w:r w:rsidR="006C22D3" w:rsidRPr="00245623">
        <w:rPr>
          <w:i/>
          <w:iCs/>
        </w:rPr>
        <w:t>M</w:t>
      </w:r>
      <w:r w:rsidRPr="00245623">
        <w:rPr>
          <w:i/>
          <w:iCs/>
        </w:rPr>
        <w:t>ed</w:t>
      </w:r>
      <w:r w:rsidRPr="00245623">
        <w:t>. 1993;30(6):672–679.</w:t>
      </w:r>
    </w:p>
    <w:p w14:paraId="1D8BA9EE" w14:textId="0C95D5DE" w:rsidR="00AC7306" w:rsidRPr="00245623" w:rsidRDefault="00AC7306" w:rsidP="00AC7306">
      <w:pPr>
        <w:pStyle w:val="Bibliographie3"/>
      </w:pPr>
      <w:r w:rsidRPr="00245623">
        <w:t xml:space="preserve">30. </w:t>
      </w:r>
      <w:r w:rsidRPr="00245623">
        <w:tab/>
        <w:t xml:space="preserve">Govindaraju V, Young K, Maudsley AA. Proton NMR chemical shifts and coupling constants for brain metabolites. </w:t>
      </w:r>
      <w:r w:rsidRPr="00245623">
        <w:rPr>
          <w:i/>
          <w:iCs/>
        </w:rPr>
        <w:t>NMR Biomed</w:t>
      </w:r>
      <w:r w:rsidRPr="00245623">
        <w:t>. 2000;13:129-153.</w:t>
      </w:r>
    </w:p>
    <w:p w14:paraId="1202D0BA" w14:textId="77777777" w:rsidR="00AC7306" w:rsidRPr="00245623" w:rsidRDefault="00AC7306" w:rsidP="00AC7306">
      <w:pPr>
        <w:pStyle w:val="Bibliographie3"/>
      </w:pPr>
      <w:r w:rsidRPr="00245623">
        <w:t xml:space="preserve">31. </w:t>
      </w:r>
      <w:r w:rsidRPr="00245623">
        <w:tab/>
        <w:t xml:space="preserve">Schneider CA, Rasband WS, Eliceiri KW. NIH Image to ImageJ: 25 years of image analysis. </w:t>
      </w:r>
      <w:r w:rsidRPr="00245623">
        <w:rPr>
          <w:i/>
          <w:iCs/>
        </w:rPr>
        <w:t>Nat Methods</w:t>
      </w:r>
      <w:r w:rsidRPr="00245623">
        <w:t>. 2012;9(7):671-675. doi:10.1038/nmeth.2089</w:t>
      </w:r>
    </w:p>
    <w:p w14:paraId="110E2B11" w14:textId="77777777" w:rsidR="00AC7306" w:rsidRPr="00245623" w:rsidRDefault="00AC7306" w:rsidP="00AC7306">
      <w:pPr>
        <w:pStyle w:val="Bibliographie3"/>
      </w:pPr>
      <w:r w:rsidRPr="00245623">
        <w:t xml:space="preserve">32. </w:t>
      </w:r>
      <w:r w:rsidRPr="00245623">
        <w:tab/>
        <w:t xml:space="preserve">Choi J-K, Dedeoglu A, Jenkins BG. Application of MRS to mouse models of neurodegenerative illness. </w:t>
      </w:r>
      <w:r w:rsidRPr="00245623">
        <w:rPr>
          <w:i/>
          <w:iCs/>
        </w:rPr>
        <w:t>NMR Biomed</w:t>
      </w:r>
      <w:r w:rsidRPr="00245623">
        <w:t>. 2007;20(3):216-237. doi:10.1002/nbm.1145</w:t>
      </w:r>
    </w:p>
    <w:p w14:paraId="6796E731" w14:textId="77777777" w:rsidR="00AC7306" w:rsidRPr="00245623" w:rsidRDefault="00AC7306" w:rsidP="00AC7306">
      <w:pPr>
        <w:pStyle w:val="Bibliographie3"/>
      </w:pPr>
      <w:r w:rsidRPr="00245623">
        <w:t xml:space="preserve">33. </w:t>
      </w:r>
      <w:r w:rsidRPr="00245623">
        <w:tab/>
        <w:t xml:space="preserve">Urenjak J, Williams S, Gadian D, Noble M. Proton nuclear magnetic resonance spectroscopy unambiguously identifies different neural cell types. </w:t>
      </w:r>
      <w:r w:rsidRPr="00245623">
        <w:rPr>
          <w:i/>
          <w:iCs/>
        </w:rPr>
        <w:t>J Neurosci</w:t>
      </w:r>
      <w:r w:rsidRPr="00245623">
        <w:t>. 1993;13(3):981-989. doi:10.1523/JNEUROSCI.13-03-00981.1993</w:t>
      </w:r>
    </w:p>
    <w:p w14:paraId="23302F99" w14:textId="2D4EE784" w:rsidR="00AC7306" w:rsidRPr="00245623" w:rsidRDefault="00AC7306" w:rsidP="00AC7306">
      <w:pPr>
        <w:pStyle w:val="Bibliographie3"/>
      </w:pPr>
      <w:r w:rsidRPr="00245623">
        <w:t xml:space="preserve">34. </w:t>
      </w:r>
      <w:r w:rsidRPr="00245623">
        <w:tab/>
        <w:t xml:space="preserve">Najac C, Branzoli F, Ronen I, Valette J. Brain intracellular metabolites are freely diffusing along cell fibers in grey and white matter, as measured by diffusion-weighted MR spectroscopy in the human brain at 7 T. </w:t>
      </w:r>
      <w:r w:rsidRPr="00245623">
        <w:rPr>
          <w:i/>
          <w:iCs/>
        </w:rPr>
        <w:t>Brain Struct Funct</w:t>
      </w:r>
      <w:r w:rsidRPr="00245623">
        <w:t>. 2016;221(3):1245-1254. doi:10.1007/s00429-014-0968-5</w:t>
      </w:r>
    </w:p>
    <w:p w14:paraId="0A9ED089" w14:textId="09B90D64" w:rsidR="00AC7306" w:rsidRPr="00245623" w:rsidRDefault="00AC7306" w:rsidP="00AC7306">
      <w:pPr>
        <w:pStyle w:val="Bibliographie3"/>
      </w:pPr>
      <w:r w:rsidRPr="00245623">
        <w:t xml:space="preserve">35. </w:t>
      </w:r>
      <w:r w:rsidRPr="00245623">
        <w:tab/>
        <w:t xml:space="preserve">Palombo M, Ligneul C, Valette J. Modeling diffusion of intracellular metabolites in the mouse brain up to very high diffusion-weighting: Diffusion in long fibers (almost) accounts for non-monoexponential attenuation. </w:t>
      </w:r>
      <w:r w:rsidRPr="00245623">
        <w:rPr>
          <w:i/>
          <w:iCs/>
        </w:rPr>
        <w:t>Magn Reson Med</w:t>
      </w:r>
      <w:r w:rsidRPr="00245623">
        <w:t>. 2017;77(1):343-350. doi:10.1002/mrm.26548</w:t>
      </w:r>
    </w:p>
    <w:p w14:paraId="09B2C3FB" w14:textId="59D9A73B" w:rsidR="00AC7306" w:rsidRPr="00245623" w:rsidRDefault="00AC7306" w:rsidP="00AC7306">
      <w:pPr>
        <w:pStyle w:val="Bibliographie3"/>
      </w:pPr>
      <w:r w:rsidRPr="00245623">
        <w:t xml:space="preserve">36. </w:t>
      </w:r>
      <w:r w:rsidRPr="00245623">
        <w:tab/>
        <w:t xml:space="preserve">Palombo M, Ligneul C, Najac C, et al. New paradigm to assess brain cell morphology by diffusion-weighted MR spectroscopy in vivo. </w:t>
      </w:r>
      <w:r w:rsidR="00556362" w:rsidRPr="00245623">
        <w:rPr>
          <w:i/>
        </w:rPr>
        <w:t>Proc Nat Acad Sci USA</w:t>
      </w:r>
      <w:r w:rsidRPr="00245623">
        <w:t>. 2016;113(24):6671-6676. doi:10.1073/pnas.1504327113</w:t>
      </w:r>
    </w:p>
    <w:p w14:paraId="2A152E1B" w14:textId="3BBEA7EE" w:rsidR="00AC7306" w:rsidRPr="00245623" w:rsidRDefault="00AC7306" w:rsidP="00AC7306">
      <w:pPr>
        <w:pStyle w:val="Bibliographie3"/>
      </w:pPr>
      <w:r w:rsidRPr="00245623">
        <w:lastRenderedPageBreak/>
        <w:t xml:space="preserve">37. </w:t>
      </w:r>
      <w:r w:rsidRPr="00245623">
        <w:tab/>
        <w:t xml:space="preserve">Valette J, Ligneul C, Marchadour C, Najac C, Palombo M. Brain metabolite diffusion from ultra-short to ultra-long time scales: what do we learn, where should we go? </w:t>
      </w:r>
      <w:r w:rsidRPr="00245623">
        <w:rPr>
          <w:i/>
          <w:iCs/>
        </w:rPr>
        <w:t>Front Neurosci</w:t>
      </w:r>
      <w:r w:rsidRPr="00245623">
        <w:t>. 2018;12. doi:10.3389/fnins.2018.00002</w:t>
      </w:r>
    </w:p>
    <w:p w14:paraId="099684F3" w14:textId="206A7910" w:rsidR="00AC7306" w:rsidRPr="00245623" w:rsidRDefault="00AC7306" w:rsidP="00AC7306">
      <w:pPr>
        <w:pStyle w:val="Bibliographie3"/>
        <w:rPr>
          <w:lang w:val="fr-FR"/>
        </w:rPr>
      </w:pPr>
      <w:r w:rsidRPr="00245623">
        <w:t xml:space="preserve">38. </w:t>
      </w:r>
      <w:r w:rsidRPr="00245623">
        <w:tab/>
        <w:t xml:space="preserve">Escartin C. Ciliary </w:t>
      </w:r>
      <w:r w:rsidR="00F1582E" w:rsidRPr="00245623">
        <w:t>n</w:t>
      </w:r>
      <w:r w:rsidRPr="00245623">
        <w:t xml:space="preserve">eurotrophic </w:t>
      </w:r>
      <w:r w:rsidR="00F1582E" w:rsidRPr="00245623">
        <w:t>f</w:t>
      </w:r>
      <w:r w:rsidRPr="00245623">
        <w:t xml:space="preserve">actor </w:t>
      </w:r>
      <w:r w:rsidR="00F1582E" w:rsidRPr="00245623">
        <w:t>a</w:t>
      </w:r>
      <w:r w:rsidRPr="00245623">
        <w:t xml:space="preserve">ctivates </w:t>
      </w:r>
      <w:r w:rsidR="00F1582E" w:rsidRPr="00245623">
        <w:t>a</w:t>
      </w:r>
      <w:r w:rsidRPr="00245623">
        <w:t xml:space="preserve">strocytes, </w:t>
      </w:r>
      <w:r w:rsidR="00F1582E" w:rsidRPr="00245623">
        <w:t>r</w:t>
      </w:r>
      <w:r w:rsidRPr="00245623">
        <w:t xml:space="preserve">edistributes </w:t>
      </w:r>
      <w:r w:rsidR="00F1582E" w:rsidRPr="00245623">
        <w:t>t</w:t>
      </w:r>
      <w:r w:rsidRPr="00245623">
        <w:t xml:space="preserve">heir </w:t>
      </w:r>
      <w:r w:rsidR="00F1582E" w:rsidRPr="00245623">
        <w:t>g</w:t>
      </w:r>
      <w:r w:rsidRPr="00245623">
        <w:t xml:space="preserve">lutamate </w:t>
      </w:r>
      <w:r w:rsidR="00F1582E" w:rsidRPr="00245623">
        <w:t>t</w:t>
      </w:r>
      <w:r w:rsidRPr="00245623">
        <w:t xml:space="preserve">ransporters GLAST and GLT-1 to </w:t>
      </w:r>
      <w:r w:rsidR="00F1582E" w:rsidRPr="00245623">
        <w:t>r</w:t>
      </w:r>
      <w:r w:rsidRPr="00245623">
        <w:t xml:space="preserve">aft </w:t>
      </w:r>
      <w:r w:rsidR="00F1582E" w:rsidRPr="00245623">
        <w:t>m</w:t>
      </w:r>
      <w:r w:rsidRPr="00245623">
        <w:t xml:space="preserve">icrodomains, and </w:t>
      </w:r>
      <w:r w:rsidR="00F1582E" w:rsidRPr="00245623">
        <w:t>i</w:t>
      </w:r>
      <w:r w:rsidRPr="00245623">
        <w:t xml:space="preserve">mproves </w:t>
      </w:r>
      <w:r w:rsidR="00F1582E" w:rsidRPr="00245623">
        <w:t>g</w:t>
      </w:r>
      <w:r w:rsidRPr="00245623">
        <w:t xml:space="preserve">lutamate </w:t>
      </w:r>
      <w:r w:rsidR="00F1582E" w:rsidRPr="00245623">
        <w:t>h</w:t>
      </w:r>
      <w:r w:rsidRPr="00245623">
        <w:t xml:space="preserve">andling </w:t>
      </w:r>
      <w:r w:rsidR="00F1582E" w:rsidRPr="00245623">
        <w:t>i</w:t>
      </w:r>
      <w:r w:rsidRPr="00245623">
        <w:t xml:space="preserve">n </w:t>
      </w:r>
      <w:r w:rsidR="00F1582E" w:rsidRPr="00245623">
        <w:t>v</w:t>
      </w:r>
      <w:r w:rsidRPr="00245623">
        <w:t xml:space="preserve">ivo. </w:t>
      </w:r>
      <w:r w:rsidRPr="00245623">
        <w:rPr>
          <w:i/>
          <w:iCs/>
          <w:lang w:val="fr-FR"/>
        </w:rPr>
        <w:t>J</w:t>
      </w:r>
      <w:r w:rsidR="00F1582E" w:rsidRPr="00245623">
        <w:rPr>
          <w:i/>
          <w:iCs/>
          <w:lang w:val="fr-FR"/>
        </w:rPr>
        <w:t xml:space="preserve"> </w:t>
      </w:r>
      <w:r w:rsidRPr="00245623">
        <w:rPr>
          <w:i/>
          <w:iCs/>
          <w:lang w:val="fr-FR"/>
        </w:rPr>
        <w:t>Neurosci</w:t>
      </w:r>
      <w:r w:rsidRPr="00245623">
        <w:rPr>
          <w:lang w:val="fr-FR"/>
        </w:rPr>
        <w:t>. 2006;26(22):5978-5989. doi:10.1523/JNEUROSCI.0302-06.2006</w:t>
      </w:r>
    </w:p>
    <w:p w14:paraId="6E770829" w14:textId="77777777" w:rsidR="00AC7306" w:rsidRPr="00245623" w:rsidRDefault="00AC7306" w:rsidP="00AC7306">
      <w:pPr>
        <w:pStyle w:val="Bibliographie3"/>
        <w:rPr>
          <w:lang w:val="fr-FR"/>
        </w:rPr>
      </w:pPr>
      <w:r w:rsidRPr="00245623">
        <w:rPr>
          <w:lang w:val="fr-FR"/>
        </w:rPr>
        <w:t xml:space="preserve">39. </w:t>
      </w:r>
      <w:r w:rsidRPr="00245623">
        <w:rPr>
          <w:lang w:val="fr-FR"/>
        </w:rPr>
        <w:tab/>
        <w:t xml:space="preserve">Bodini B, Branzoli F, Poirion E, et al. </w:t>
      </w:r>
      <w:r w:rsidRPr="00245623">
        <w:t xml:space="preserve">Dysregulation of energy metabolism in multiple sclerosis measured in vivo with diffusion-weighted spectroscopy. </w:t>
      </w:r>
      <w:r w:rsidRPr="00245623">
        <w:rPr>
          <w:i/>
          <w:iCs/>
          <w:lang w:val="fr-FR"/>
        </w:rPr>
        <w:t>Mult Scler</w:t>
      </w:r>
      <w:r w:rsidRPr="00245623">
        <w:rPr>
          <w:lang w:val="fr-FR"/>
        </w:rPr>
        <w:t>. 2018;24(3):313-321. doi:10.1177/1352458517698249</w:t>
      </w:r>
    </w:p>
    <w:p w14:paraId="6780FB56" w14:textId="276206B2" w:rsidR="00AC7306" w:rsidRPr="00245623" w:rsidRDefault="00AC7306" w:rsidP="00AC7306">
      <w:pPr>
        <w:pStyle w:val="Bibliographie3"/>
      </w:pPr>
      <w:r w:rsidRPr="00245623">
        <w:rPr>
          <w:lang w:val="fr-FR"/>
        </w:rPr>
        <w:t xml:space="preserve">40. </w:t>
      </w:r>
      <w:r w:rsidRPr="00245623">
        <w:rPr>
          <w:lang w:val="fr-FR"/>
        </w:rPr>
        <w:tab/>
        <w:t xml:space="preserve">Pasquini LA, Calatayud CA, Bertone Uña AL, Millet V, Pasquini JM, Soto EF. </w:t>
      </w:r>
      <w:r w:rsidRPr="00245623">
        <w:t xml:space="preserve">The </w:t>
      </w:r>
      <w:r w:rsidR="001C4BCE" w:rsidRPr="00245623">
        <w:t>n</w:t>
      </w:r>
      <w:r w:rsidRPr="00245623">
        <w:t xml:space="preserve">eurotoxic </w:t>
      </w:r>
      <w:r w:rsidR="001C4BCE" w:rsidRPr="00245623">
        <w:t>e</w:t>
      </w:r>
      <w:r w:rsidRPr="00245623">
        <w:t xml:space="preserve">ffect of </w:t>
      </w:r>
      <w:r w:rsidR="001C4BCE" w:rsidRPr="00245623">
        <w:t>c</w:t>
      </w:r>
      <w:r w:rsidRPr="00245623">
        <w:t xml:space="preserve">uprizone on </w:t>
      </w:r>
      <w:r w:rsidR="001C4BCE" w:rsidRPr="00245623">
        <w:t>o</w:t>
      </w:r>
      <w:r w:rsidRPr="00245623">
        <w:t xml:space="preserve">ligodendrocytes </w:t>
      </w:r>
      <w:r w:rsidR="001C4BCE" w:rsidRPr="00245623">
        <w:t>d</w:t>
      </w:r>
      <w:r w:rsidRPr="00245623">
        <w:t xml:space="preserve">epends on the </w:t>
      </w:r>
      <w:r w:rsidR="001C4BCE" w:rsidRPr="00245623">
        <w:t>p</w:t>
      </w:r>
      <w:r w:rsidRPr="00245623">
        <w:t xml:space="preserve">resence of </w:t>
      </w:r>
      <w:r w:rsidR="001C4BCE" w:rsidRPr="00245623">
        <w:t>p</w:t>
      </w:r>
      <w:r w:rsidRPr="00245623">
        <w:t xml:space="preserve">ro-inflammatory </w:t>
      </w:r>
      <w:r w:rsidR="001C4BCE" w:rsidRPr="00245623">
        <w:t>c</w:t>
      </w:r>
      <w:r w:rsidRPr="00245623">
        <w:t xml:space="preserve">ytokines </w:t>
      </w:r>
      <w:r w:rsidR="001C4BCE" w:rsidRPr="00245623">
        <w:t>s</w:t>
      </w:r>
      <w:r w:rsidRPr="00245623">
        <w:t xml:space="preserve">ecreted by </w:t>
      </w:r>
      <w:r w:rsidR="001C4BCE" w:rsidRPr="00245623">
        <w:t>m</w:t>
      </w:r>
      <w:r w:rsidRPr="00245623">
        <w:t xml:space="preserve">icroglia. </w:t>
      </w:r>
      <w:r w:rsidRPr="00245623">
        <w:rPr>
          <w:i/>
          <w:iCs/>
        </w:rPr>
        <w:t>Neurochem Res</w:t>
      </w:r>
      <w:r w:rsidRPr="00245623">
        <w:t>. 2007;32(2):279-292. doi:10.1007/s11064-006-9165-0</w:t>
      </w:r>
    </w:p>
    <w:p w14:paraId="5A37088D" w14:textId="4C16B58E" w:rsidR="00AC7306" w:rsidRPr="00245623" w:rsidRDefault="00AC7306" w:rsidP="00AC7306">
      <w:pPr>
        <w:pStyle w:val="Bibliographie3"/>
      </w:pPr>
      <w:r w:rsidRPr="00245623">
        <w:t xml:space="preserve">41. </w:t>
      </w:r>
      <w:r w:rsidRPr="00245623">
        <w:tab/>
        <w:t xml:space="preserve">Gustafsson MC, Dahlqvist O, Jaworski J, Lundberg P, Landtblom A-ME. Low </w:t>
      </w:r>
      <w:r w:rsidR="001C4BCE" w:rsidRPr="00245623">
        <w:t>c</w:t>
      </w:r>
      <w:r w:rsidRPr="00245623">
        <w:t xml:space="preserve">holine </w:t>
      </w:r>
      <w:r w:rsidR="001C4BCE" w:rsidRPr="00245623">
        <w:t>c</w:t>
      </w:r>
      <w:r w:rsidRPr="00245623">
        <w:t xml:space="preserve">oncentrations in </w:t>
      </w:r>
      <w:r w:rsidR="001C4BCE" w:rsidRPr="00245623">
        <w:t>n</w:t>
      </w:r>
      <w:r w:rsidRPr="00245623">
        <w:t>ormal-</w:t>
      </w:r>
      <w:r w:rsidR="001C4BCE" w:rsidRPr="00245623">
        <w:t>a</w:t>
      </w:r>
      <w:r w:rsidRPr="00245623">
        <w:t xml:space="preserve">ppearing </w:t>
      </w:r>
      <w:r w:rsidR="001C4BCE" w:rsidRPr="00245623">
        <w:t>w</w:t>
      </w:r>
      <w:r w:rsidRPr="00245623">
        <w:t xml:space="preserve">hite </w:t>
      </w:r>
      <w:r w:rsidR="001C4BCE" w:rsidRPr="00245623">
        <w:t>m</w:t>
      </w:r>
      <w:r w:rsidRPr="00245623">
        <w:t xml:space="preserve">atter of </w:t>
      </w:r>
      <w:r w:rsidR="001C4BCE" w:rsidRPr="00245623">
        <w:t>p</w:t>
      </w:r>
      <w:r w:rsidRPr="00245623">
        <w:t xml:space="preserve">atients with </w:t>
      </w:r>
      <w:r w:rsidR="001C4BCE" w:rsidRPr="00245623">
        <w:t>m</w:t>
      </w:r>
      <w:r w:rsidRPr="00245623">
        <w:t xml:space="preserve">ultiple </w:t>
      </w:r>
      <w:r w:rsidR="001C4BCE" w:rsidRPr="00245623">
        <w:t>s</w:t>
      </w:r>
      <w:r w:rsidRPr="00245623">
        <w:t xml:space="preserve">clerosis and </w:t>
      </w:r>
      <w:r w:rsidR="001C4BCE" w:rsidRPr="00245623">
        <w:t>n</w:t>
      </w:r>
      <w:r w:rsidRPr="00245623">
        <w:t xml:space="preserve">ormal MR </w:t>
      </w:r>
      <w:r w:rsidR="001C4BCE" w:rsidRPr="00245623">
        <w:t>i</w:t>
      </w:r>
      <w:r w:rsidRPr="00245623">
        <w:t xml:space="preserve">maging </w:t>
      </w:r>
      <w:r w:rsidR="001C4BCE" w:rsidRPr="00245623">
        <w:t>b</w:t>
      </w:r>
      <w:r w:rsidRPr="00245623">
        <w:t xml:space="preserve">rain </w:t>
      </w:r>
      <w:r w:rsidR="001C4BCE" w:rsidRPr="00245623">
        <w:t>s</w:t>
      </w:r>
      <w:r w:rsidRPr="00245623">
        <w:t xml:space="preserve">cans. </w:t>
      </w:r>
      <w:r w:rsidRPr="00245623">
        <w:rPr>
          <w:i/>
          <w:iCs/>
        </w:rPr>
        <w:t>American J Neuroradiol</w:t>
      </w:r>
      <w:r w:rsidRPr="00245623">
        <w:t>. 2007;28(7):1306-1312. doi:10.3174/ajnr.A0580</w:t>
      </w:r>
    </w:p>
    <w:p w14:paraId="0C500229" w14:textId="32E77A05" w:rsidR="00AC7306" w:rsidRPr="00245623" w:rsidRDefault="00AC7306" w:rsidP="00AC7306">
      <w:pPr>
        <w:pStyle w:val="Bibliographie3"/>
      </w:pPr>
      <w:r w:rsidRPr="00245623">
        <w:t xml:space="preserve">42. </w:t>
      </w:r>
      <w:r w:rsidRPr="00245623">
        <w:tab/>
        <w:t xml:space="preserve">Oh J, Pelletier D, Nelson SJ. Corpus </w:t>
      </w:r>
      <w:r w:rsidR="001C4BCE" w:rsidRPr="00245623">
        <w:t>c</w:t>
      </w:r>
      <w:r w:rsidRPr="00245623">
        <w:t xml:space="preserve">allosum </w:t>
      </w:r>
      <w:r w:rsidR="001C4BCE" w:rsidRPr="00245623">
        <w:t>a</w:t>
      </w:r>
      <w:r w:rsidRPr="00245623">
        <w:t xml:space="preserve">xonal </w:t>
      </w:r>
      <w:r w:rsidR="001C4BCE" w:rsidRPr="00245623">
        <w:t>i</w:t>
      </w:r>
      <w:r w:rsidRPr="00245623">
        <w:t xml:space="preserve">njury in </w:t>
      </w:r>
      <w:r w:rsidR="001C4BCE" w:rsidRPr="00245623">
        <w:t>m</w:t>
      </w:r>
      <w:r w:rsidRPr="00245623">
        <w:t xml:space="preserve">ultiple </w:t>
      </w:r>
      <w:r w:rsidR="001C4BCE" w:rsidRPr="00245623">
        <w:t>s</w:t>
      </w:r>
      <w:r w:rsidRPr="00245623">
        <w:t xml:space="preserve">clerosis </w:t>
      </w:r>
      <w:r w:rsidR="001C4BCE" w:rsidRPr="00245623">
        <w:t>m</w:t>
      </w:r>
      <w:r w:rsidRPr="00245623">
        <w:t xml:space="preserve">easured by </w:t>
      </w:r>
      <w:r w:rsidR="001C4BCE" w:rsidRPr="00245623">
        <w:t>p</w:t>
      </w:r>
      <w:r w:rsidRPr="00245623">
        <w:t xml:space="preserve">roton </w:t>
      </w:r>
      <w:r w:rsidR="001C4BCE" w:rsidRPr="00245623">
        <w:t>m</w:t>
      </w:r>
      <w:r w:rsidRPr="00245623">
        <w:t xml:space="preserve">agnetic </w:t>
      </w:r>
      <w:r w:rsidR="001C4BCE" w:rsidRPr="00245623">
        <w:t>r</w:t>
      </w:r>
      <w:r w:rsidRPr="00245623">
        <w:t xml:space="preserve">esonance </w:t>
      </w:r>
      <w:r w:rsidR="001C4BCE" w:rsidRPr="00245623">
        <w:t>s</w:t>
      </w:r>
      <w:r w:rsidRPr="00245623">
        <w:t xml:space="preserve">pectroscopic </w:t>
      </w:r>
      <w:r w:rsidR="001C4BCE" w:rsidRPr="00245623">
        <w:t>i</w:t>
      </w:r>
      <w:r w:rsidRPr="00245623">
        <w:t xml:space="preserve">maging. </w:t>
      </w:r>
      <w:r w:rsidRPr="00245623">
        <w:rPr>
          <w:i/>
          <w:iCs/>
        </w:rPr>
        <w:t>Arch Neurol</w:t>
      </w:r>
      <w:r w:rsidRPr="00245623">
        <w:t>. 2004;61(7). doi:10.1001/archneur.61.7.1081</w:t>
      </w:r>
    </w:p>
    <w:p w14:paraId="746F98D0" w14:textId="6FB65103" w:rsidR="00AC7306" w:rsidRPr="00245623" w:rsidRDefault="00AC7306" w:rsidP="00AC7306">
      <w:pPr>
        <w:pStyle w:val="Bibliographie3"/>
      </w:pPr>
      <w:r w:rsidRPr="00245623">
        <w:t xml:space="preserve">43. </w:t>
      </w:r>
      <w:r w:rsidRPr="00245623">
        <w:tab/>
        <w:t xml:space="preserve">Sajja BR, Wolinsky JS, Narayana PA. Proton </w:t>
      </w:r>
      <w:r w:rsidR="005957B5" w:rsidRPr="00245623">
        <w:t>m</w:t>
      </w:r>
      <w:r w:rsidRPr="00245623">
        <w:t xml:space="preserve">agnetic </w:t>
      </w:r>
      <w:r w:rsidR="005957B5" w:rsidRPr="00245623">
        <w:t>r</w:t>
      </w:r>
      <w:r w:rsidRPr="00245623">
        <w:t xml:space="preserve">esonance </w:t>
      </w:r>
      <w:r w:rsidR="005957B5" w:rsidRPr="00245623">
        <w:t>s</w:t>
      </w:r>
      <w:r w:rsidRPr="00245623">
        <w:t xml:space="preserve">pectroscopy in </w:t>
      </w:r>
      <w:r w:rsidR="005957B5" w:rsidRPr="00245623">
        <w:t>m</w:t>
      </w:r>
      <w:r w:rsidRPr="00245623">
        <w:t xml:space="preserve">ultiple </w:t>
      </w:r>
      <w:r w:rsidR="005957B5" w:rsidRPr="00245623">
        <w:t>s</w:t>
      </w:r>
      <w:r w:rsidRPr="00245623">
        <w:t xml:space="preserve">clerosis. </w:t>
      </w:r>
      <w:r w:rsidRPr="00245623">
        <w:rPr>
          <w:i/>
          <w:iCs/>
        </w:rPr>
        <w:t>Neuroimaging Clin N Am</w:t>
      </w:r>
      <w:r w:rsidRPr="00245623">
        <w:t>. 2009;19(1):45-58. doi:10.1016/j.nic.2008.08.002</w:t>
      </w:r>
    </w:p>
    <w:p w14:paraId="78464D0F" w14:textId="4F38A01A" w:rsidR="00AC7306" w:rsidRPr="00245623" w:rsidRDefault="00AC7306" w:rsidP="00AC7306">
      <w:pPr>
        <w:pStyle w:val="Bibliographie3"/>
      </w:pPr>
      <w:r w:rsidRPr="00245623">
        <w:t xml:space="preserve">44. </w:t>
      </w:r>
      <w:r w:rsidRPr="00245623">
        <w:tab/>
        <w:t xml:space="preserve">Bianchi MC, Tosetti M, Battini R, et al. Proton MR Spectroscopy of </w:t>
      </w:r>
      <w:r w:rsidR="005957B5" w:rsidRPr="00245623">
        <w:t>m</w:t>
      </w:r>
      <w:r w:rsidRPr="00245623">
        <w:t xml:space="preserve">itochondrial </w:t>
      </w:r>
      <w:r w:rsidR="005957B5" w:rsidRPr="00245623">
        <w:t>d</w:t>
      </w:r>
      <w:r w:rsidRPr="00245623">
        <w:t xml:space="preserve">iseases: </w:t>
      </w:r>
      <w:r w:rsidR="005957B5" w:rsidRPr="00245623">
        <w:t>a</w:t>
      </w:r>
      <w:r w:rsidRPr="00245623">
        <w:t xml:space="preserve">nalysis of </w:t>
      </w:r>
      <w:r w:rsidR="005957B5" w:rsidRPr="00245623">
        <w:t>b</w:t>
      </w:r>
      <w:r w:rsidRPr="00245623">
        <w:t xml:space="preserve">rain </w:t>
      </w:r>
      <w:r w:rsidR="005957B5" w:rsidRPr="00245623">
        <w:t>m</w:t>
      </w:r>
      <w:r w:rsidRPr="00245623">
        <w:t xml:space="preserve">etabolic </w:t>
      </w:r>
      <w:r w:rsidR="005957B5" w:rsidRPr="00245623">
        <w:t>a</w:t>
      </w:r>
      <w:r w:rsidRPr="00245623">
        <w:t xml:space="preserve">bnormalities and </w:t>
      </w:r>
      <w:r w:rsidR="005957B5" w:rsidRPr="00245623">
        <w:t>t</w:t>
      </w:r>
      <w:r w:rsidRPr="00245623">
        <w:t xml:space="preserve">heir </w:t>
      </w:r>
      <w:r w:rsidR="005957B5" w:rsidRPr="00245623">
        <w:t>p</w:t>
      </w:r>
      <w:r w:rsidRPr="00245623">
        <w:t xml:space="preserve">ossible </w:t>
      </w:r>
      <w:r w:rsidR="005957B5" w:rsidRPr="00245623">
        <w:t>d</w:t>
      </w:r>
      <w:r w:rsidRPr="00245623">
        <w:t xml:space="preserve">iagnostic </w:t>
      </w:r>
      <w:r w:rsidR="005957B5" w:rsidRPr="00245623">
        <w:t>r</w:t>
      </w:r>
      <w:r w:rsidRPr="00245623">
        <w:t xml:space="preserve">elevance. </w:t>
      </w:r>
      <w:r w:rsidRPr="00245623">
        <w:rPr>
          <w:i/>
          <w:iCs/>
        </w:rPr>
        <w:t>American J</w:t>
      </w:r>
      <w:r w:rsidR="005957B5" w:rsidRPr="00245623">
        <w:rPr>
          <w:i/>
          <w:iCs/>
        </w:rPr>
        <w:t xml:space="preserve"> </w:t>
      </w:r>
      <w:r w:rsidRPr="00245623">
        <w:rPr>
          <w:i/>
          <w:iCs/>
        </w:rPr>
        <w:t>Neuroradiol</w:t>
      </w:r>
      <w:r w:rsidRPr="00245623">
        <w:t>. 2003;24:1958-1966.</w:t>
      </w:r>
    </w:p>
    <w:p w14:paraId="3FE23C0D" w14:textId="6893D268" w:rsidR="00C1199D" w:rsidRPr="00245623" w:rsidRDefault="00BA76C6" w:rsidP="00247647">
      <w:pPr>
        <w:spacing w:line="480" w:lineRule="auto"/>
        <w:jc w:val="both"/>
        <w:rPr>
          <w:bCs/>
          <w:lang w:val="en-US"/>
        </w:rPr>
      </w:pPr>
      <w:r w:rsidRPr="00245623">
        <w:rPr>
          <w:bCs/>
          <w:lang w:val="en-US"/>
        </w:rPr>
        <w:fldChar w:fldCharType="end"/>
      </w:r>
    </w:p>
    <w:p w14:paraId="58D24ECF" w14:textId="6B44870C" w:rsidR="00845F4A" w:rsidRPr="00245623" w:rsidRDefault="00845F4A" w:rsidP="00247647">
      <w:pPr>
        <w:spacing w:line="480" w:lineRule="auto"/>
        <w:jc w:val="both"/>
        <w:rPr>
          <w:bCs/>
          <w:lang w:val="en-US"/>
        </w:rPr>
      </w:pPr>
    </w:p>
    <w:p w14:paraId="3EFDD610" w14:textId="1154C9FF" w:rsidR="00845F4A" w:rsidRPr="00245623" w:rsidRDefault="00845F4A" w:rsidP="00247647">
      <w:pPr>
        <w:spacing w:line="480" w:lineRule="auto"/>
        <w:jc w:val="both"/>
        <w:rPr>
          <w:bCs/>
          <w:lang w:val="en-US"/>
        </w:rPr>
      </w:pPr>
    </w:p>
    <w:p w14:paraId="7CD5F002" w14:textId="01F11EBF" w:rsidR="00EC0881" w:rsidRPr="00245623" w:rsidRDefault="00EC0881" w:rsidP="00247647">
      <w:pPr>
        <w:spacing w:line="480" w:lineRule="auto"/>
        <w:jc w:val="both"/>
        <w:rPr>
          <w:bCs/>
          <w:lang w:val="en-US"/>
        </w:rPr>
      </w:pPr>
    </w:p>
    <w:p w14:paraId="1A352B01" w14:textId="04BF7FE3" w:rsidR="00F71BB2" w:rsidRPr="00245623" w:rsidRDefault="00F71BB2" w:rsidP="00247647">
      <w:pPr>
        <w:spacing w:line="480" w:lineRule="auto"/>
        <w:jc w:val="both"/>
        <w:rPr>
          <w:bCs/>
          <w:lang w:val="en-US"/>
        </w:rPr>
      </w:pPr>
    </w:p>
    <w:p w14:paraId="4199ECA0" w14:textId="491782B4" w:rsidR="00F71BB2" w:rsidRPr="00245623" w:rsidRDefault="00F71BB2" w:rsidP="00247647">
      <w:pPr>
        <w:spacing w:line="480" w:lineRule="auto"/>
        <w:jc w:val="both"/>
        <w:rPr>
          <w:bCs/>
          <w:lang w:val="en-US"/>
        </w:rPr>
      </w:pPr>
    </w:p>
    <w:p w14:paraId="25FDFF4B" w14:textId="1C37BA2A" w:rsidR="00F71BB2" w:rsidRPr="00245623" w:rsidRDefault="00F71BB2" w:rsidP="00247647">
      <w:pPr>
        <w:spacing w:line="480" w:lineRule="auto"/>
        <w:jc w:val="both"/>
        <w:rPr>
          <w:bCs/>
          <w:lang w:val="en-US"/>
        </w:rPr>
      </w:pPr>
    </w:p>
    <w:p w14:paraId="20ED8F89" w14:textId="54A85009" w:rsidR="00F71BB2" w:rsidRPr="00245623" w:rsidRDefault="00F71BB2" w:rsidP="00247647">
      <w:pPr>
        <w:spacing w:line="480" w:lineRule="auto"/>
        <w:jc w:val="both"/>
        <w:rPr>
          <w:bCs/>
          <w:lang w:val="en-US"/>
        </w:rPr>
      </w:pPr>
    </w:p>
    <w:p w14:paraId="58135E3B" w14:textId="7A12EC06" w:rsidR="00F71BB2" w:rsidRPr="00245623" w:rsidRDefault="00F71BB2" w:rsidP="00247647">
      <w:pPr>
        <w:spacing w:line="480" w:lineRule="auto"/>
        <w:jc w:val="both"/>
        <w:rPr>
          <w:bCs/>
          <w:lang w:val="en-US"/>
        </w:rPr>
      </w:pPr>
    </w:p>
    <w:p w14:paraId="42F5A647" w14:textId="77777777" w:rsidR="00F71BB2" w:rsidRPr="00245623" w:rsidRDefault="00F71BB2" w:rsidP="00247647">
      <w:pPr>
        <w:spacing w:line="480" w:lineRule="auto"/>
        <w:jc w:val="both"/>
        <w:rPr>
          <w:bCs/>
          <w:lang w:val="en-US"/>
        </w:rPr>
      </w:pPr>
    </w:p>
    <w:p w14:paraId="4BEF4651" w14:textId="5B117C0E" w:rsidR="00EC0881" w:rsidRPr="00245623" w:rsidRDefault="00EC0881" w:rsidP="00EC0881">
      <w:pPr>
        <w:spacing w:line="480" w:lineRule="auto"/>
        <w:rPr>
          <w:iCs/>
          <w:szCs w:val="22"/>
          <w:lang w:val="en-US"/>
        </w:rPr>
      </w:pPr>
      <w:r w:rsidRPr="00245623">
        <w:rPr>
          <w:b/>
          <w:iCs/>
          <w:szCs w:val="22"/>
          <w:lang w:val="en-US"/>
        </w:rPr>
        <w:lastRenderedPageBreak/>
        <w:t xml:space="preserve">Table 1: </w:t>
      </w:r>
      <w:r w:rsidRPr="00245623">
        <w:rPr>
          <w:iCs/>
          <w:szCs w:val="22"/>
          <w:lang w:val="en-US"/>
        </w:rPr>
        <w:t xml:space="preserve">Mean and standard deviation of metabolite </w:t>
      </w:r>
      <w:r w:rsidRPr="00245623">
        <w:rPr>
          <w:szCs w:val="22"/>
          <w:lang w:val="en-US"/>
        </w:rPr>
        <w:t>ADCs</w:t>
      </w:r>
      <w:r w:rsidRPr="00245623">
        <w:rPr>
          <w:iCs/>
          <w:szCs w:val="22"/>
          <w:vertAlign w:val="subscript"/>
          <w:lang w:val="en-US"/>
        </w:rPr>
        <w:t xml:space="preserve"> </w:t>
      </w:r>
      <w:r w:rsidRPr="00245623">
        <w:rPr>
          <w:iCs/>
          <w:szCs w:val="22"/>
          <w:lang w:val="en-US"/>
        </w:rPr>
        <w:t xml:space="preserve">and concentrations relative to </w:t>
      </w:r>
      <w:proofErr w:type="spellStart"/>
      <w:r w:rsidRPr="00245623">
        <w:rPr>
          <w:iCs/>
          <w:szCs w:val="22"/>
          <w:lang w:val="en-US"/>
        </w:rPr>
        <w:t>tCr</w:t>
      </w:r>
      <w:proofErr w:type="spellEnd"/>
      <w:r w:rsidRPr="00245623">
        <w:rPr>
          <w:iCs/>
          <w:szCs w:val="22"/>
          <w:vertAlign w:val="subscript"/>
          <w:lang w:val="en-US"/>
        </w:rPr>
        <w:t xml:space="preserve"> </w:t>
      </w:r>
      <w:r w:rsidRPr="00245623">
        <w:rPr>
          <w:iCs/>
          <w:szCs w:val="22"/>
          <w:lang w:val="en-US"/>
        </w:rPr>
        <w:t xml:space="preserve">evaluated for each mouse group. The </w:t>
      </w:r>
      <w:r w:rsidRPr="00245623">
        <w:rPr>
          <w:i/>
          <w:iCs/>
          <w:szCs w:val="22"/>
          <w:lang w:val="en-US"/>
        </w:rPr>
        <w:t>p</w:t>
      </w:r>
      <w:r w:rsidRPr="00245623">
        <w:rPr>
          <w:iCs/>
          <w:szCs w:val="22"/>
          <w:lang w:val="en-US"/>
        </w:rPr>
        <w:t xml:space="preserve">-values are reported in the last column. </w:t>
      </w:r>
    </w:p>
    <w:p w14:paraId="35696858" w14:textId="77777777" w:rsidR="00EC0881" w:rsidRPr="00245623" w:rsidRDefault="00EC0881" w:rsidP="00EC0881">
      <w:pPr>
        <w:spacing w:line="480" w:lineRule="auto"/>
        <w:jc w:val="both"/>
        <w:rPr>
          <w:b/>
          <w:bCs/>
          <w:sz w:val="26"/>
          <w:szCs w:val="26"/>
          <w:lang w:val="en-US"/>
        </w:rPr>
      </w:pPr>
    </w:p>
    <w:tbl>
      <w:tblPr>
        <w:tblStyle w:val="Grilledutableau"/>
        <w:tblW w:w="9797" w:type="dxa"/>
        <w:tblLayout w:type="fixed"/>
        <w:tblLook w:val="04A0" w:firstRow="1" w:lastRow="0" w:firstColumn="1" w:lastColumn="0" w:noHBand="0" w:noVBand="1"/>
      </w:tblPr>
      <w:tblGrid>
        <w:gridCol w:w="1827"/>
        <w:gridCol w:w="2006"/>
        <w:gridCol w:w="2006"/>
        <w:gridCol w:w="1979"/>
        <w:gridCol w:w="1979"/>
      </w:tblGrid>
      <w:tr w:rsidR="00EC0881" w:rsidRPr="00245623" w14:paraId="48559813" w14:textId="77777777" w:rsidTr="00A37CF7">
        <w:trPr>
          <w:trHeight w:val="610"/>
        </w:trPr>
        <w:tc>
          <w:tcPr>
            <w:tcW w:w="1827" w:type="dxa"/>
            <w:vMerge w:val="restart"/>
            <w:tcBorders>
              <w:top w:val="single" w:sz="18" w:space="0" w:color="auto"/>
              <w:left w:val="nil"/>
              <w:right w:val="nil"/>
            </w:tcBorders>
            <w:vAlign w:val="center"/>
          </w:tcPr>
          <w:p w14:paraId="092B89FD" w14:textId="77777777" w:rsidR="00C00292" w:rsidRPr="00245623" w:rsidRDefault="00C00292" w:rsidP="00A37CF7">
            <w:pPr>
              <w:jc w:val="center"/>
              <w:rPr>
                <w:b/>
                <w:iCs/>
                <w:sz w:val="20"/>
                <w:szCs w:val="20"/>
                <w:lang w:val="en-US"/>
              </w:rPr>
            </w:pPr>
          </w:p>
          <w:p w14:paraId="51582E80" w14:textId="77777777" w:rsidR="00C00292" w:rsidRPr="00245623" w:rsidRDefault="00C00292" w:rsidP="00A37CF7">
            <w:pPr>
              <w:jc w:val="center"/>
              <w:rPr>
                <w:b/>
                <w:iCs/>
                <w:sz w:val="20"/>
                <w:szCs w:val="20"/>
                <w:lang w:val="en-US"/>
              </w:rPr>
            </w:pPr>
          </w:p>
          <w:p w14:paraId="691E06F0" w14:textId="77777777" w:rsidR="00C00292" w:rsidRPr="00245623" w:rsidRDefault="00C00292" w:rsidP="00A37CF7">
            <w:pPr>
              <w:jc w:val="center"/>
              <w:rPr>
                <w:b/>
                <w:iCs/>
                <w:sz w:val="20"/>
                <w:szCs w:val="20"/>
                <w:lang w:val="en-US"/>
              </w:rPr>
            </w:pPr>
          </w:p>
          <w:p w14:paraId="09028762" w14:textId="77777777" w:rsidR="00C00292" w:rsidRPr="00245623" w:rsidRDefault="00C00292" w:rsidP="00A37CF7">
            <w:pPr>
              <w:jc w:val="center"/>
              <w:rPr>
                <w:b/>
                <w:iCs/>
                <w:sz w:val="20"/>
                <w:szCs w:val="20"/>
                <w:lang w:val="en-US"/>
              </w:rPr>
            </w:pPr>
          </w:p>
          <w:p w14:paraId="339723D7" w14:textId="77777777" w:rsidR="00C00292" w:rsidRPr="00245623" w:rsidRDefault="00C00292" w:rsidP="00A37CF7">
            <w:pPr>
              <w:jc w:val="center"/>
              <w:rPr>
                <w:b/>
                <w:iCs/>
                <w:sz w:val="20"/>
                <w:szCs w:val="20"/>
                <w:lang w:val="en-US"/>
              </w:rPr>
            </w:pPr>
          </w:p>
          <w:p w14:paraId="27D4C66C" w14:textId="7BF3A7B3" w:rsidR="00EC0881" w:rsidRPr="00245623" w:rsidRDefault="00EC0881" w:rsidP="00C00292">
            <w:pPr>
              <w:jc w:val="center"/>
              <w:rPr>
                <w:b/>
                <w:sz w:val="20"/>
                <w:szCs w:val="20"/>
                <w:vertAlign w:val="subscript"/>
              </w:rPr>
            </w:pPr>
            <w:r w:rsidRPr="00245623">
              <w:rPr>
                <w:b/>
                <w:iCs/>
                <w:sz w:val="20"/>
                <w:szCs w:val="20"/>
              </w:rPr>
              <w:t>ADC</w:t>
            </w:r>
          </w:p>
          <w:p w14:paraId="28CCD788" w14:textId="77777777" w:rsidR="00EC0881" w:rsidRPr="00245623" w:rsidRDefault="00EC0881" w:rsidP="00A37CF7">
            <w:pPr>
              <w:jc w:val="center"/>
              <w:rPr>
                <w:b/>
                <w:sz w:val="20"/>
                <w:szCs w:val="20"/>
                <w:vertAlign w:val="subscript"/>
              </w:rPr>
            </w:pPr>
            <w:r w:rsidRPr="00245623">
              <w:rPr>
                <w:b/>
                <w:sz w:val="20"/>
                <w:szCs w:val="20"/>
              </w:rPr>
              <w:t>(</w:t>
            </w:r>
            <w:proofErr w:type="gramStart"/>
            <w:r w:rsidRPr="00245623">
              <w:rPr>
                <w:b/>
                <w:sz w:val="20"/>
                <w:szCs w:val="20"/>
              </w:rPr>
              <w:t>μ</w:t>
            </w:r>
            <w:proofErr w:type="gramEnd"/>
            <w:r w:rsidRPr="00245623">
              <w:rPr>
                <w:b/>
                <w:sz w:val="20"/>
                <w:szCs w:val="20"/>
              </w:rPr>
              <w:t>m</w:t>
            </w:r>
            <w:r w:rsidRPr="00245623">
              <w:rPr>
                <w:b/>
                <w:sz w:val="20"/>
                <w:szCs w:val="20"/>
                <w:vertAlign w:val="superscript"/>
              </w:rPr>
              <w:t>2</w:t>
            </w:r>
            <w:r w:rsidRPr="00245623">
              <w:rPr>
                <w:b/>
                <w:sz w:val="20"/>
                <w:szCs w:val="20"/>
              </w:rPr>
              <w:t>/ms)</w:t>
            </w:r>
          </w:p>
          <w:p w14:paraId="55753C05" w14:textId="77777777" w:rsidR="00EC0881" w:rsidRPr="00245623" w:rsidRDefault="00EC0881" w:rsidP="00A37CF7">
            <w:pPr>
              <w:jc w:val="center"/>
              <w:rPr>
                <w:b/>
                <w:sz w:val="20"/>
                <w:szCs w:val="20"/>
                <w:vertAlign w:val="subscript"/>
              </w:rPr>
            </w:pPr>
            <w:r w:rsidRPr="00245623">
              <w:rPr>
                <w:b/>
                <w:sz w:val="20"/>
                <w:szCs w:val="20"/>
              </w:rPr>
              <w:t xml:space="preserve"> </w:t>
            </w:r>
          </w:p>
        </w:tc>
        <w:tc>
          <w:tcPr>
            <w:tcW w:w="2006" w:type="dxa"/>
            <w:tcBorders>
              <w:top w:val="single" w:sz="18" w:space="0" w:color="auto"/>
              <w:left w:val="nil"/>
              <w:bottom w:val="single" w:sz="4" w:space="0" w:color="auto"/>
              <w:right w:val="nil"/>
            </w:tcBorders>
            <w:vAlign w:val="center"/>
          </w:tcPr>
          <w:p w14:paraId="0D8C6DD3" w14:textId="77777777" w:rsidR="00EC0881" w:rsidRPr="00245623" w:rsidRDefault="00EC0881" w:rsidP="00A37CF7">
            <w:pPr>
              <w:jc w:val="center"/>
              <w:rPr>
                <w:b/>
                <w:bCs/>
                <w:sz w:val="20"/>
                <w:szCs w:val="20"/>
              </w:rPr>
            </w:pPr>
            <w:proofErr w:type="spellStart"/>
            <w:r w:rsidRPr="00245623">
              <w:rPr>
                <w:b/>
                <w:bCs/>
                <w:sz w:val="20"/>
                <w:szCs w:val="20"/>
              </w:rPr>
              <w:t>Metabolite</w:t>
            </w:r>
            <w:proofErr w:type="spellEnd"/>
          </w:p>
        </w:tc>
        <w:tc>
          <w:tcPr>
            <w:tcW w:w="2006" w:type="dxa"/>
            <w:tcBorders>
              <w:top w:val="single" w:sz="18" w:space="0" w:color="auto"/>
              <w:left w:val="nil"/>
              <w:bottom w:val="single" w:sz="4" w:space="0" w:color="auto"/>
              <w:right w:val="nil"/>
            </w:tcBorders>
            <w:vAlign w:val="center"/>
          </w:tcPr>
          <w:p w14:paraId="5F5E019B" w14:textId="77777777" w:rsidR="00EC0881" w:rsidRPr="00245623" w:rsidRDefault="00EC0881" w:rsidP="00A37CF7">
            <w:pPr>
              <w:jc w:val="center"/>
              <w:rPr>
                <w:b/>
                <w:sz w:val="20"/>
                <w:szCs w:val="20"/>
              </w:rPr>
            </w:pPr>
            <w:r w:rsidRPr="00245623">
              <w:rPr>
                <w:b/>
                <w:sz w:val="20"/>
                <w:szCs w:val="20"/>
              </w:rPr>
              <w:t>CPZ (n = 8)</w:t>
            </w:r>
          </w:p>
        </w:tc>
        <w:tc>
          <w:tcPr>
            <w:tcW w:w="1979" w:type="dxa"/>
            <w:tcBorders>
              <w:top w:val="single" w:sz="18" w:space="0" w:color="auto"/>
              <w:left w:val="nil"/>
              <w:bottom w:val="single" w:sz="4" w:space="0" w:color="auto"/>
              <w:right w:val="nil"/>
            </w:tcBorders>
            <w:vAlign w:val="center"/>
          </w:tcPr>
          <w:p w14:paraId="34707BDD" w14:textId="018436FA" w:rsidR="00EC0881" w:rsidRPr="00245623" w:rsidRDefault="00EC0881" w:rsidP="00A37CF7">
            <w:pPr>
              <w:jc w:val="center"/>
              <w:rPr>
                <w:b/>
                <w:color w:val="000000" w:themeColor="text1"/>
                <w:sz w:val="20"/>
                <w:szCs w:val="20"/>
              </w:rPr>
            </w:pPr>
            <w:r w:rsidRPr="00245623">
              <w:rPr>
                <w:b/>
                <w:color w:val="000000" w:themeColor="text1"/>
                <w:sz w:val="20"/>
                <w:szCs w:val="20"/>
              </w:rPr>
              <w:t xml:space="preserve">Control (n = </w:t>
            </w:r>
            <w:r w:rsidR="00C00292" w:rsidRPr="00245623">
              <w:rPr>
                <w:b/>
                <w:color w:val="000000" w:themeColor="text1"/>
                <w:sz w:val="20"/>
                <w:szCs w:val="20"/>
              </w:rPr>
              <w:t>8</w:t>
            </w:r>
            <w:r w:rsidRPr="00245623">
              <w:rPr>
                <w:b/>
                <w:color w:val="000000" w:themeColor="text1"/>
                <w:sz w:val="20"/>
                <w:szCs w:val="20"/>
              </w:rPr>
              <w:t>)</w:t>
            </w:r>
          </w:p>
        </w:tc>
        <w:tc>
          <w:tcPr>
            <w:tcW w:w="1979" w:type="dxa"/>
            <w:tcBorders>
              <w:top w:val="single" w:sz="18" w:space="0" w:color="auto"/>
              <w:left w:val="nil"/>
              <w:bottom w:val="single" w:sz="4" w:space="0" w:color="auto"/>
              <w:right w:val="nil"/>
            </w:tcBorders>
            <w:vAlign w:val="center"/>
          </w:tcPr>
          <w:p w14:paraId="5A4C9DFB" w14:textId="77777777" w:rsidR="00EC0881" w:rsidRPr="00245623" w:rsidRDefault="00EC0881" w:rsidP="00A37CF7">
            <w:pPr>
              <w:jc w:val="center"/>
              <w:rPr>
                <w:b/>
                <w:color w:val="000000" w:themeColor="text1"/>
                <w:sz w:val="20"/>
                <w:szCs w:val="20"/>
              </w:rPr>
            </w:pPr>
            <w:proofErr w:type="gramStart"/>
            <w:r w:rsidRPr="00245623">
              <w:rPr>
                <w:b/>
                <w:i/>
                <w:color w:val="000000" w:themeColor="text1"/>
                <w:sz w:val="20"/>
                <w:szCs w:val="20"/>
              </w:rPr>
              <w:t>p</w:t>
            </w:r>
            <w:proofErr w:type="gramEnd"/>
            <w:r w:rsidRPr="00245623">
              <w:rPr>
                <w:b/>
                <w:color w:val="000000" w:themeColor="text1"/>
                <w:sz w:val="20"/>
                <w:szCs w:val="20"/>
              </w:rPr>
              <w:t>-value</w:t>
            </w:r>
          </w:p>
        </w:tc>
      </w:tr>
      <w:tr w:rsidR="00C00292" w:rsidRPr="00245623" w14:paraId="54545A7C" w14:textId="77777777" w:rsidTr="00A37CF7">
        <w:trPr>
          <w:trHeight w:val="610"/>
        </w:trPr>
        <w:tc>
          <w:tcPr>
            <w:tcW w:w="1827" w:type="dxa"/>
            <w:vMerge/>
            <w:tcBorders>
              <w:left w:val="nil"/>
              <w:right w:val="nil"/>
            </w:tcBorders>
            <w:vAlign w:val="center"/>
          </w:tcPr>
          <w:p w14:paraId="16B7EE57" w14:textId="77777777" w:rsidR="00C00292" w:rsidRPr="00245623" w:rsidRDefault="00C00292" w:rsidP="00C00292">
            <w:pPr>
              <w:jc w:val="center"/>
              <w:rPr>
                <w:b/>
                <w:sz w:val="20"/>
                <w:szCs w:val="20"/>
              </w:rPr>
            </w:pPr>
          </w:p>
        </w:tc>
        <w:tc>
          <w:tcPr>
            <w:tcW w:w="2006" w:type="dxa"/>
            <w:tcBorders>
              <w:top w:val="single" w:sz="4" w:space="0" w:color="auto"/>
              <w:left w:val="nil"/>
              <w:bottom w:val="nil"/>
              <w:right w:val="nil"/>
            </w:tcBorders>
            <w:vAlign w:val="center"/>
          </w:tcPr>
          <w:p w14:paraId="293F467D" w14:textId="56AC2400" w:rsidR="00C00292" w:rsidRPr="00245623" w:rsidRDefault="00C00292" w:rsidP="00C00292">
            <w:pPr>
              <w:jc w:val="center"/>
              <w:rPr>
                <w:sz w:val="20"/>
                <w:szCs w:val="20"/>
              </w:rPr>
            </w:pPr>
            <w:proofErr w:type="spellStart"/>
            <w:proofErr w:type="gramStart"/>
            <w:r w:rsidRPr="00245623">
              <w:rPr>
                <w:b/>
                <w:sz w:val="20"/>
                <w:szCs w:val="20"/>
              </w:rPr>
              <w:t>mIns</w:t>
            </w:r>
            <w:proofErr w:type="spellEnd"/>
            <w:proofErr w:type="gramEnd"/>
          </w:p>
        </w:tc>
        <w:tc>
          <w:tcPr>
            <w:tcW w:w="2006" w:type="dxa"/>
            <w:tcBorders>
              <w:top w:val="single" w:sz="4" w:space="0" w:color="auto"/>
              <w:left w:val="nil"/>
              <w:bottom w:val="nil"/>
              <w:right w:val="nil"/>
            </w:tcBorders>
            <w:vAlign w:val="center"/>
          </w:tcPr>
          <w:p w14:paraId="7B7FFCCD" w14:textId="426A70BF" w:rsidR="00C00292" w:rsidRPr="00245623" w:rsidRDefault="00C00292" w:rsidP="00C00292">
            <w:pPr>
              <w:jc w:val="center"/>
              <w:rPr>
                <w:sz w:val="20"/>
                <w:szCs w:val="20"/>
              </w:rPr>
            </w:pPr>
            <w:r w:rsidRPr="00245623">
              <w:rPr>
                <w:sz w:val="20"/>
                <w:szCs w:val="20"/>
              </w:rPr>
              <w:t>0.130 ± 0.031</w:t>
            </w:r>
          </w:p>
        </w:tc>
        <w:tc>
          <w:tcPr>
            <w:tcW w:w="1979" w:type="dxa"/>
            <w:tcBorders>
              <w:top w:val="single" w:sz="4" w:space="0" w:color="auto"/>
              <w:left w:val="nil"/>
              <w:bottom w:val="nil"/>
              <w:right w:val="nil"/>
            </w:tcBorders>
            <w:vAlign w:val="center"/>
          </w:tcPr>
          <w:p w14:paraId="78124B0A" w14:textId="6C1C1F34" w:rsidR="00C00292" w:rsidRPr="00245623" w:rsidRDefault="00C00292" w:rsidP="00C00292">
            <w:pPr>
              <w:jc w:val="center"/>
              <w:rPr>
                <w:sz w:val="20"/>
                <w:szCs w:val="20"/>
              </w:rPr>
            </w:pPr>
            <w:r w:rsidRPr="00245623">
              <w:rPr>
                <w:sz w:val="20"/>
                <w:szCs w:val="20"/>
              </w:rPr>
              <w:t>0.082 ± 0.024</w:t>
            </w:r>
          </w:p>
        </w:tc>
        <w:tc>
          <w:tcPr>
            <w:tcW w:w="1979" w:type="dxa"/>
            <w:tcBorders>
              <w:top w:val="single" w:sz="4" w:space="0" w:color="auto"/>
              <w:left w:val="nil"/>
              <w:bottom w:val="nil"/>
              <w:right w:val="nil"/>
            </w:tcBorders>
            <w:vAlign w:val="center"/>
          </w:tcPr>
          <w:p w14:paraId="70D5C786" w14:textId="4D220731" w:rsidR="00C00292" w:rsidRPr="00245623" w:rsidRDefault="00C00292" w:rsidP="00C00292">
            <w:pPr>
              <w:jc w:val="center"/>
              <w:rPr>
                <w:sz w:val="20"/>
                <w:szCs w:val="20"/>
              </w:rPr>
            </w:pPr>
            <w:r w:rsidRPr="00245623">
              <w:rPr>
                <w:b/>
                <w:bCs/>
                <w:sz w:val="20"/>
                <w:szCs w:val="20"/>
              </w:rPr>
              <w:t>0.004</w:t>
            </w:r>
          </w:p>
        </w:tc>
      </w:tr>
      <w:tr w:rsidR="00C00292" w:rsidRPr="00245623" w14:paraId="08F23D1B" w14:textId="77777777" w:rsidTr="00A37CF7">
        <w:trPr>
          <w:trHeight w:val="593"/>
        </w:trPr>
        <w:tc>
          <w:tcPr>
            <w:tcW w:w="1827" w:type="dxa"/>
            <w:vMerge/>
            <w:tcBorders>
              <w:left w:val="nil"/>
              <w:right w:val="nil"/>
            </w:tcBorders>
            <w:vAlign w:val="center"/>
          </w:tcPr>
          <w:p w14:paraId="43203C29" w14:textId="77777777" w:rsidR="00C00292" w:rsidRPr="00245623" w:rsidRDefault="00C00292" w:rsidP="00C00292">
            <w:pPr>
              <w:jc w:val="center"/>
              <w:rPr>
                <w:b/>
                <w:sz w:val="20"/>
                <w:szCs w:val="20"/>
              </w:rPr>
            </w:pPr>
          </w:p>
        </w:tc>
        <w:tc>
          <w:tcPr>
            <w:tcW w:w="2006" w:type="dxa"/>
            <w:tcBorders>
              <w:top w:val="nil"/>
              <w:left w:val="nil"/>
              <w:bottom w:val="nil"/>
              <w:right w:val="nil"/>
            </w:tcBorders>
            <w:vAlign w:val="center"/>
          </w:tcPr>
          <w:p w14:paraId="46B0C710" w14:textId="355CFF35" w:rsidR="00C00292" w:rsidRPr="00245623" w:rsidRDefault="00C00292" w:rsidP="00C00292">
            <w:pPr>
              <w:jc w:val="center"/>
              <w:rPr>
                <w:sz w:val="20"/>
                <w:szCs w:val="20"/>
              </w:rPr>
            </w:pPr>
            <w:proofErr w:type="spellStart"/>
            <w:proofErr w:type="gramStart"/>
            <w:r w:rsidRPr="00245623">
              <w:rPr>
                <w:b/>
                <w:sz w:val="20"/>
                <w:szCs w:val="20"/>
              </w:rPr>
              <w:t>tCho</w:t>
            </w:r>
            <w:proofErr w:type="spellEnd"/>
            <w:proofErr w:type="gramEnd"/>
          </w:p>
        </w:tc>
        <w:tc>
          <w:tcPr>
            <w:tcW w:w="2006" w:type="dxa"/>
            <w:tcBorders>
              <w:top w:val="nil"/>
              <w:left w:val="nil"/>
              <w:bottom w:val="single" w:sz="4" w:space="0" w:color="auto"/>
              <w:right w:val="nil"/>
            </w:tcBorders>
            <w:vAlign w:val="center"/>
          </w:tcPr>
          <w:p w14:paraId="06D1864F" w14:textId="7C95C45C" w:rsidR="00C00292" w:rsidRPr="00245623" w:rsidRDefault="00C00292" w:rsidP="00C00292">
            <w:pPr>
              <w:jc w:val="center"/>
              <w:rPr>
                <w:sz w:val="20"/>
                <w:szCs w:val="20"/>
              </w:rPr>
            </w:pPr>
            <w:r w:rsidRPr="00245623">
              <w:rPr>
                <w:sz w:val="20"/>
                <w:szCs w:val="20"/>
              </w:rPr>
              <w:t>0.188 ± 0.041</w:t>
            </w:r>
          </w:p>
        </w:tc>
        <w:tc>
          <w:tcPr>
            <w:tcW w:w="1979" w:type="dxa"/>
            <w:tcBorders>
              <w:top w:val="nil"/>
              <w:left w:val="nil"/>
              <w:bottom w:val="single" w:sz="2" w:space="0" w:color="auto"/>
              <w:right w:val="nil"/>
            </w:tcBorders>
            <w:vAlign w:val="center"/>
          </w:tcPr>
          <w:p w14:paraId="2F1A41D8" w14:textId="0CA1D938" w:rsidR="00C00292" w:rsidRPr="00245623" w:rsidRDefault="00C00292" w:rsidP="00C00292">
            <w:pPr>
              <w:jc w:val="center"/>
              <w:rPr>
                <w:sz w:val="20"/>
                <w:szCs w:val="20"/>
              </w:rPr>
            </w:pPr>
            <w:r w:rsidRPr="00245623">
              <w:rPr>
                <w:sz w:val="20"/>
                <w:szCs w:val="20"/>
              </w:rPr>
              <w:t>0.120 ± 0.033</w:t>
            </w:r>
          </w:p>
        </w:tc>
        <w:tc>
          <w:tcPr>
            <w:tcW w:w="1979" w:type="dxa"/>
            <w:tcBorders>
              <w:top w:val="nil"/>
              <w:left w:val="nil"/>
              <w:bottom w:val="single" w:sz="2" w:space="0" w:color="auto"/>
              <w:right w:val="nil"/>
            </w:tcBorders>
            <w:vAlign w:val="center"/>
          </w:tcPr>
          <w:p w14:paraId="1D5CB757" w14:textId="61EFACD0" w:rsidR="00C00292" w:rsidRPr="00245623" w:rsidRDefault="00C00292" w:rsidP="00C00292">
            <w:pPr>
              <w:jc w:val="center"/>
              <w:rPr>
                <w:sz w:val="20"/>
                <w:szCs w:val="20"/>
              </w:rPr>
            </w:pPr>
            <w:r w:rsidRPr="00245623">
              <w:rPr>
                <w:b/>
                <w:bCs/>
                <w:sz w:val="20"/>
                <w:szCs w:val="20"/>
              </w:rPr>
              <w:t>0.017</w:t>
            </w:r>
          </w:p>
        </w:tc>
      </w:tr>
      <w:tr w:rsidR="00EC0881" w:rsidRPr="00245623" w14:paraId="6E62DCA4" w14:textId="77777777" w:rsidTr="00A37CF7">
        <w:trPr>
          <w:trHeight w:val="593"/>
        </w:trPr>
        <w:tc>
          <w:tcPr>
            <w:tcW w:w="1827" w:type="dxa"/>
            <w:vMerge/>
            <w:tcBorders>
              <w:left w:val="nil"/>
              <w:right w:val="nil"/>
            </w:tcBorders>
            <w:vAlign w:val="center"/>
          </w:tcPr>
          <w:p w14:paraId="501EE6A3" w14:textId="77777777" w:rsidR="00EC0881" w:rsidRPr="00245623" w:rsidRDefault="00EC0881" w:rsidP="00A37CF7">
            <w:pPr>
              <w:jc w:val="center"/>
              <w:rPr>
                <w:b/>
                <w:sz w:val="20"/>
                <w:szCs w:val="20"/>
              </w:rPr>
            </w:pPr>
          </w:p>
        </w:tc>
        <w:tc>
          <w:tcPr>
            <w:tcW w:w="2006" w:type="dxa"/>
            <w:tcBorders>
              <w:top w:val="nil"/>
              <w:left w:val="nil"/>
              <w:bottom w:val="nil"/>
              <w:right w:val="nil"/>
            </w:tcBorders>
            <w:vAlign w:val="center"/>
          </w:tcPr>
          <w:p w14:paraId="4C82CD09" w14:textId="77777777" w:rsidR="00EC0881" w:rsidRPr="00245623" w:rsidRDefault="00EC0881" w:rsidP="00A37CF7">
            <w:pPr>
              <w:jc w:val="center"/>
              <w:rPr>
                <w:b/>
                <w:sz w:val="20"/>
                <w:szCs w:val="20"/>
              </w:rPr>
            </w:pPr>
          </w:p>
        </w:tc>
        <w:tc>
          <w:tcPr>
            <w:tcW w:w="2006" w:type="dxa"/>
            <w:tcBorders>
              <w:top w:val="single" w:sz="4" w:space="0" w:color="auto"/>
              <w:left w:val="nil"/>
              <w:bottom w:val="single" w:sz="4" w:space="0" w:color="auto"/>
              <w:right w:val="nil"/>
            </w:tcBorders>
            <w:vAlign w:val="center"/>
          </w:tcPr>
          <w:p w14:paraId="5100B998" w14:textId="77777777" w:rsidR="00EC0881" w:rsidRPr="00245623" w:rsidRDefault="00EC0881" w:rsidP="00A37CF7">
            <w:pPr>
              <w:jc w:val="center"/>
              <w:rPr>
                <w:sz w:val="20"/>
                <w:szCs w:val="20"/>
              </w:rPr>
            </w:pPr>
            <w:r w:rsidRPr="00245623">
              <w:rPr>
                <w:b/>
                <w:sz w:val="20"/>
                <w:szCs w:val="20"/>
              </w:rPr>
              <w:t>CPZ (n = 8)</w:t>
            </w:r>
          </w:p>
        </w:tc>
        <w:tc>
          <w:tcPr>
            <w:tcW w:w="1979" w:type="dxa"/>
            <w:tcBorders>
              <w:top w:val="single" w:sz="2" w:space="0" w:color="auto"/>
              <w:left w:val="nil"/>
              <w:bottom w:val="single" w:sz="4" w:space="0" w:color="auto"/>
              <w:right w:val="nil"/>
            </w:tcBorders>
            <w:vAlign w:val="center"/>
          </w:tcPr>
          <w:p w14:paraId="23DCE891" w14:textId="3DA25F9D" w:rsidR="00EC0881" w:rsidRPr="00245623" w:rsidRDefault="00EC0881" w:rsidP="00A37CF7">
            <w:pPr>
              <w:jc w:val="center"/>
              <w:rPr>
                <w:sz w:val="20"/>
                <w:szCs w:val="20"/>
              </w:rPr>
            </w:pPr>
            <w:r w:rsidRPr="00245623">
              <w:rPr>
                <w:b/>
                <w:color w:val="000000" w:themeColor="text1"/>
                <w:sz w:val="20"/>
                <w:szCs w:val="20"/>
              </w:rPr>
              <w:t>Control</w:t>
            </w:r>
            <w:r w:rsidRPr="00245623">
              <w:rPr>
                <w:b/>
                <w:color w:val="000000" w:themeColor="text1"/>
                <w:sz w:val="20"/>
                <w:szCs w:val="20"/>
                <w:vertAlign w:val="subscript"/>
              </w:rPr>
              <w:t xml:space="preserve"> </w:t>
            </w:r>
            <w:r w:rsidRPr="00245623">
              <w:rPr>
                <w:b/>
                <w:color w:val="000000" w:themeColor="text1"/>
                <w:sz w:val="20"/>
                <w:szCs w:val="20"/>
              </w:rPr>
              <w:t xml:space="preserve">(n = </w:t>
            </w:r>
            <w:r w:rsidR="00C00292" w:rsidRPr="00245623">
              <w:rPr>
                <w:b/>
                <w:color w:val="000000" w:themeColor="text1"/>
                <w:sz w:val="20"/>
                <w:szCs w:val="20"/>
              </w:rPr>
              <w:t>10</w:t>
            </w:r>
            <w:r w:rsidRPr="00245623">
              <w:rPr>
                <w:b/>
                <w:color w:val="000000" w:themeColor="text1"/>
                <w:sz w:val="20"/>
                <w:szCs w:val="20"/>
              </w:rPr>
              <w:t>)</w:t>
            </w:r>
          </w:p>
        </w:tc>
        <w:tc>
          <w:tcPr>
            <w:tcW w:w="1979" w:type="dxa"/>
            <w:tcBorders>
              <w:top w:val="single" w:sz="2" w:space="0" w:color="auto"/>
              <w:left w:val="nil"/>
              <w:bottom w:val="single" w:sz="2" w:space="0" w:color="auto"/>
              <w:right w:val="nil"/>
            </w:tcBorders>
          </w:tcPr>
          <w:p w14:paraId="6CD2CF2D" w14:textId="77777777" w:rsidR="00EC0881" w:rsidRPr="00245623" w:rsidRDefault="00EC0881" w:rsidP="00A37CF7">
            <w:pPr>
              <w:jc w:val="center"/>
              <w:rPr>
                <w:b/>
                <w:color w:val="000000" w:themeColor="text1"/>
                <w:sz w:val="20"/>
                <w:szCs w:val="20"/>
              </w:rPr>
            </w:pPr>
          </w:p>
        </w:tc>
      </w:tr>
      <w:tr w:rsidR="00AD3A2C" w:rsidRPr="00245623" w14:paraId="15039B4B" w14:textId="77777777" w:rsidTr="00A37CF7">
        <w:trPr>
          <w:trHeight w:val="610"/>
        </w:trPr>
        <w:tc>
          <w:tcPr>
            <w:tcW w:w="1827" w:type="dxa"/>
            <w:vMerge/>
            <w:tcBorders>
              <w:left w:val="nil"/>
              <w:right w:val="nil"/>
            </w:tcBorders>
            <w:vAlign w:val="center"/>
          </w:tcPr>
          <w:p w14:paraId="61B783FA" w14:textId="77777777" w:rsidR="00AD3A2C" w:rsidRPr="00245623" w:rsidRDefault="00AD3A2C" w:rsidP="00AD3A2C">
            <w:pPr>
              <w:jc w:val="center"/>
              <w:rPr>
                <w:b/>
                <w:sz w:val="20"/>
                <w:szCs w:val="20"/>
              </w:rPr>
            </w:pPr>
          </w:p>
        </w:tc>
        <w:tc>
          <w:tcPr>
            <w:tcW w:w="2006" w:type="dxa"/>
            <w:tcBorders>
              <w:top w:val="nil"/>
              <w:left w:val="nil"/>
              <w:bottom w:val="nil"/>
              <w:right w:val="nil"/>
            </w:tcBorders>
            <w:vAlign w:val="center"/>
          </w:tcPr>
          <w:p w14:paraId="584EE629" w14:textId="34EE8AC3" w:rsidR="00AD3A2C" w:rsidRPr="00245623" w:rsidRDefault="00AD3A2C" w:rsidP="00AD3A2C">
            <w:pPr>
              <w:jc w:val="center"/>
              <w:rPr>
                <w:sz w:val="20"/>
                <w:szCs w:val="20"/>
              </w:rPr>
            </w:pPr>
            <w:proofErr w:type="spellStart"/>
            <w:proofErr w:type="gramStart"/>
            <w:r w:rsidRPr="00245623">
              <w:rPr>
                <w:b/>
                <w:sz w:val="20"/>
                <w:szCs w:val="20"/>
              </w:rPr>
              <w:t>tCr</w:t>
            </w:r>
            <w:proofErr w:type="spellEnd"/>
            <w:proofErr w:type="gramEnd"/>
          </w:p>
        </w:tc>
        <w:tc>
          <w:tcPr>
            <w:tcW w:w="2006" w:type="dxa"/>
            <w:tcBorders>
              <w:top w:val="single" w:sz="4" w:space="0" w:color="auto"/>
              <w:left w:val="nil"/>
              <w:bottom w:val="nil"/>
              <w:right w:val="nil"/>
            </w:tcBorders>
            <w:vAlign w:val="center"/>
          </w:tcPr>
          <w:p w14:paraId="65E092A7" w14:textId="16D7C88C" w:rsidR="00AD3A2C" w:rsidRPr="00245623" w:rsidRDefault="00AD3A2C" w:rsidP="00AD3A2C">
            <w:pPr>
              <w:jc w:val="center"/>
              <w:rPr>
                <w:sz w:val="20"/>
                <w:szCs w:val="20"/>
              </w:rPr>
            </w:pPr>
            <w:r w:rsidRPr="00245623">
              <w:rPr>
                <w:sz w:val="20"/>
                <w:szCs w:val="20"/>
              </w:rPr>
              <w:t>0.089 ± 0.016</w:t>
            </w:r>
          </w:p>
        </w:tc>
        <w:tc>
          <w:tcPr>
            <w:tcW w:w="1979" w:type="dxa"/>
            <w:tcBorders>
              <w:top w:val="single" w:sz="4" w:space="0" w:color="auto"/>
              <w:left w:val="nil"/>
              <w:bottom w:val="nil"/>
              <w:right w:val="nil"/>
            </w:tcBorders>
            <w:vAlign w:val="center"/>
          </w:tcPr>
          <w:p w14:paraId="7366EFC0" w14:textId="6EEFD3E0" w:rsidR="00AD3A2C" w:rsidRPr="00245623" w:rsidRDefault="00AD3A2C" w:rsidP="00AD3A2C">
            <w:pPr>
              <w:jc w:val="center"/>
              <w:rPr>
                <w:sz w:val="20"/>
                <w:szCs w:val="20"/>
              </w:rPr>
            </w:pPr>
            <w:r w:rsidRPr="00245623">
              <w:rPr>
                <w:sz w:val="20"/>
                <w:szCs w:val="20"/>
              </w:rPr>
              <w:t>0.081 ± 0.013</w:t>
            </w:r>
          </w:p>
        </w:tc>
        <w:tc>
          <w:tcPr>
            <w:tcW w:w="1979" w:type="dxa"/>
            <w:tcBorders>
              <w:top w:val="single" w:sz="2" w:space="0" w:color="auto"/>
              <w:left w:val="nil"/>
              <w:bottom w:val="nil"/>
              <w:right w:val="nil"/>
            </w:tcBorders>
            <w:vAlign w:val="center"/>
          </w:tcPr>
          <w:p w14:paraId="4F0885D8" w14:textId="761E0BC2" w:rsidR="00AD3A2C" w:rsidRPr="00245623" w:rsidRDefault="00AD3A2C" w:rsidP="00AD3A2C">
            <w:pPr>
              <w:jc w:val="center"/>
              <w:rPr>
                <w:b/>
                <w:bCs/>
                <w:sz w:val="20"/>
                <w:szCs w:val="20"/>
              </w:rPr>
            </w:pPr>
            <w:r w:rsidRPr="00245623">
              <w:rPr>
                <w:sz w:val="20"/>
                <w:szCs w:val="20"/>
              </w:rPr>
              <w:t>0.238</w:t>
            </w:r>
          </w:p>
        </w:tc>
      </w:tr>
      <w:tr w:rsidR="00AD3A2C" w:rsidRPr="00245623" w14:paraId="463DA5E7" w14:textId="77777777" w:rsidTr="00C00292">
        <w:trPr>
          <w:trHeight w:val="593"/>
        </w:trPr>
        <w:tc>
          <w:tcPr>
            <w:tcW w:w="1827" w:type="dxa"/>
            <w:vMerge/>
            <w:tcBorders>
              <w:left w:val="nil"/>
              <w:bottom w:val="nil"/>
              <w:right w:val="nil"/>
            </w:tcBorders>
            <w:vAlign w:val="center"/>
          </w:tcPr>
          <w:p w14:paraId="46694E55" w14:textId="77777777" w:rsidR="00AD3A2C" w:rsidRPr="00245623" w:rsidRDefault="00AD3A2C" w:rsidP="00AD3A2C">
            <w:pPr>
              <w:jc w:val="center"/>
              <w:rPr>
                <w:b/>
                <w:sz w:val="20"/>
                <w:szCs w:val="20"/>
              </w:rPr>
            </w:pPr>
          </w:p>
        </w:tc>
        <w:tc>
          <w:tcPr>
            <w:tcW w:w="2006" w:type="dxa"/>
            <w:tcBorders>
              <w:top w:val="nil"/>
              <w:left w:val="nil"/>
              <w:bottom w:val="nil"/>
              <w:right w:val="nil"/>
            </w:tcBorders>
            <w:vAlign w:val="center"/>
          </w:tcPr>
          <w:p w14:paraId="50EEF4A9" w14:textId="28E9A824" w:rsidR="00AD3A2C" w:rsidRPr="00245623" w:rsidRDefault="00AD3A2C" w:rsidP="00AD3A2C">
            <w:pPr>
              <w:jc w:val="center"/>
              <w:rPr>
                <w:sz w:val="20"/>
                <w:szCs w:val="20"/>
              </w:rPr>
            </w:pPr>
            <w:proofErr w:type="spellStart"/>
            <w:proofErr w:type="gramStart"/>
            <w:r w:rsidRPr="00245623">
              <w:rPr>
                <w:b/>
                <w:sz w:val="20"/>
                <w:szCs w:val="20"/>
              </w:rPr>
              <w:t>tNAA</w:t>
            </w:r>
            <w:proofErr w:type="spellEnd"/>
            <w:proofErr w:type="gramEnd"/>
          </w:p>
        </w:tc>
        <w:tc>
          <w:tcPr>
            <w:tcW w:w="2006" w:type="dxa"/>
            <w:tcBorders>
              <w:top w:val="nil"/>
              <w:left w:val="nil"/>
              <w:bottom w:val="nil"/>
              <w:right w:val="nil"/>
            </w:tcBorders>
            <w:vAlign w:val="center"/>
          </w:tcPr>
          <w:p w14:paraId="7A2CD2CE" w14:textId="38CA3DF5" w:rsidR="00AD3A2C" w:rsidRPr="00245623" w:rsidRDefault="00AD3A2C" w:rsidP="00AD3A2C">
            <w:pPr>
              <w:jc w:val="center"/>
              <w:rPr>
                <w:sz w:val="20"/>
                <w:szCs w:val="20"/>
              </w:rPr>
            </w:pPr>
            <w:r w:rsidRPr="00245623">
              <w:rPr>
                <w:sz w:val="20"/>
                <w:szCs w:val="20"/>
              </w:rPr>
              <w:t>0.086 ± 0.023</w:t>
            </w:r>
          </w:p>
        </w:tc>
        <w:tc>
          <w:tcPr>
            <w:tcW w:w="1979" w:type="dxa"/>
            <w:tcBorders>
              <w:top w:val="nil"/>
              <w:left w:val="nil"/>
              <w:bottom w:val="nil"/>
              <w:right w:val="nil"/>
            </w:tcBorders>
            <w:vAlign w:val="center"/>
          </w:tcPr>
          <w:p w14:paraId="24A019C1" w14:textId="41B7A5FD" w:rsidR="00AD3A2C" w:rsidRPr="00245623" w:rsidRDefault="00AD3A2C" w:rsidP="00AD3A2C">
            <w:pPr>
              <w:jc w:val="center"/>
              <w:rPr>
                <w:sz w:val="20"/>
                <w:szCs w:val="20"/>
              </w:rPr>
            </w:pPr>
            <w:r w:rsidRPr="00245623">
              <w:rPr>
                <w:sz w:val="20"/>
                <w:szCs w:val="20"/>
              </w:rPr>
              <w:t>0.085 ± 0.014</w:t>
            </w:r>
          </w:p>
        </w:tc>
        <w:tc>
          <w:tcPr>
            <w:tcW w:w="1979" w:type="dxa"/>
            <w:tcBorders>
              <w:top w:val="nil"/>
              <w:left w:val="nil"/>
              <w:bottom w:val="nil"/>
              <w:right w:val="nil"/>
            </w:tcBorders>
            <w:vAlign w:val="center"/>
          </w:tcPr>
          <w:p w14:paraId="2D08D0C3" w14:textId="3D67A76A" w:rsidR="00AD3A2C" w:rsidRPr="00245623" w:rsidRDefault="00AD3A2C" w:rsidP="00AD3A2C">
            <w:pPr>
              <w:jc w:val="center"/>
              <w:rPr>
                <w:b/>
                <w:bCs/>
                <w:sz w:val="20"/>
                <w:szCs w:val="20"/>
              </w:rPr>
            </w:pPr>
            <w:r w:rsidRPr="00245623">
              <w:rPr>
                <w:sz w:val="20"/>
                <w:szCs w:val="20"/>
              </w:rPr>
              <w:t>0.898</w:t>
            </w:r>
          </w:p>
        </w:tc>
      </w:tr>
      <w:tr w:rsidR="00AD3A2C" w:rsidRPr="00245623" w14:paraId="4062A92E" w14:textId="77777777" w:rsidTr="00C00292">
        <w:trPr>
          <w:trHeight w:val="593"/>
        </w:trPr>
        <w:tc>
          <w:tcPr>
            <w:tcW w:w="1827" w:type="dxa"/>
            <w:tcBorders>
              <w:top w:val="nil"/>
              <w:left w:val="nil"/>
              <w:bottom w:val="nil"/>
              <w:right w:val="nil"/>
            </w:tcBorders>
            <w:vAlign w:val="center"/>
          </w:tcPr>
          <w:p w14:paraId="126A2A47" w14:textId="77777777" w:rsidR="00AD3A2C" w:rsidRPr="00245623" w:rsidRDefault="00AD3A2C" w:rsidP="00AD3A2C">
            <w:pPr>
              <w:jc w:val="center"/>
              <w:rPr>
                <w:b/>
                <w:sz w:val="20"/>
                <w:szCs w:val="20"/>
              </w:rPr>
            </w:pPr>
          </w:p>
        </w:tc>
        <w:tc>
          <w:tcPr>
            <w:tcW w:w="2006" w:type="dxa"/>
            <w:tcBorders>
              <w:top w:val="nil"/>
              <w:left w:val="nil"/>
              <w:bottom w:val="nil"/>
              <w:right w:val="nil"/>
            </w:tcBorders>
            <w:vAlign w:val="center"/>
          </w:tcPr>
          <w:p w14:paraId="0DE49F31" w14:textId="64F48249" w:rsidR="00AD3A2C" w:rsidRPr="00245623" w:rsidRDefault="00AD3A2C" w:rsidP="00AD3A2C">
            <w:pPr>
              <w:jc w:val="center"/>
              <w:rPr>
                <w:b/>
                <w:sz w:val="20"/>
                <w:szCs w:val="20"/>
              </w:rPr>
            </w:pPr>
            <w:r w:rsidRPr="00245623">
              <w:rPr>
                <w:b/>
                <w:sz w:val="20"/>
                <w:szCs w:val="20"/>
              </w:rPr>
              <w:t>Tau</w:t>
            </w:r>
          </w:p>
        </w:tc>
        <w:tc>
          <w:tcPr>
            <w:tcW w:w="2006" w:type="dxa"/>
            <w:tcBorders>
              <w:top w:val="nil"/>
              <w:left w:val="nil"/>
              <w:bottom w:val="nil"/>
              <w:right w:val="nil"/>
            </w:tcBorders>
            <w:vAlign w:val="center"/>
          </w:tcPr>
          <w:p w14:paraId="16BBD386" w14:textId="43F2FB8B" w:rsidR="00AD3A2C" w:rsidRPr="00245623" w:rsidRDefault="00AD3A2C" w:rsidP="00AD3A2C">
            <w:pPr>
              <w:jc w:val="center"/>
              <w:rPr>
                <w:sz w:val="20"/>
                <w:szCs w:val="20"/>
              </w:rPr>
            </w:pPr>
            <w:r w:rsidRPr="00245623">
              <w:rPr>
                <w:sz w:val="20"/>
                <w:szCs w:val="20"/>
              </w:rPr>
              <w:t>0.133 ± 0.013</w:t>
            </w:r>
          </w:p>
        </w:tc>
        <w:tc>
          <w:tcPr>
            <w:tcW w:w="1979" w:type="dxa"/>
            <w:tcBorders>
              <w:top w:val="nil"/>
              <w:left w:val="nil"/>
              <w:bottom w:val="nil"/>
              <w:right w:val="nil"/>
            </w:tcBorders>
            <w:vAlign w:val="center"/>
          </w:tcPr>
          <w:p w14:paraId="3EAE826A" w14:textId="5BA8E474" w:rsidR="00AD3A2C" w:rsidRPr="00245623" w:rsidRDefault="00AD3A2C" w:rsidP="00AD3A2C">
            <w:pPr>
              <w:jc w:val="center"/>
              <w:rPr>
                <w:sz w:val="20"/>
                <w:szCs w:val="20"/>
              </w:rPr>
            </w:pPr>
            <w:r w:rsidRPr="00245623">
              <w:rPr>
                <w:sz w:val="20"/>
                <w:szCs w:val="20"/>
              </w:rPr>
              <w:t>0.126 ± 0.012</w:t>
            </w:r>
          </w:p>
        </w:tc>
        <w:tc>
          <w:tcPr>
            <w:tcW w:w="1979" w:type="dxa"/>
            <w:tcBorders>
              <w:top w:val="nil"/>
              <w:left w:val="nil"/>
              <w:bottom w:val="nil"/>
              <w:right w:val="nil"/>
            </w:tcBorders>
            <w:vAlign w:val="center"/>
          </w:tcPr>
          <w:p w14:paraId="47CDE1F7" w14:textId="795111A0" w:rsidR="00AD3A2C" w:rsidRPr="00245623" w:rsidRDefault="00AD3A2C" w:rsidP="00AD3A2C">
            <w:pPr>
              <w:jc w:val="center"/>
              <w:rPr>
                <w:b/>
                <w:bCs/>
                <w:sz w:val="20"/>
                <w:szCs w:val="20"/>
              </w:rPr>
            </w:pPr>
            <w:r w:rsidRPr="00245623">
              <w:rPr>
                <w:bCs/>
                <w:sz w:val="20"/>
                <w:szCs w:val="20"/>
              </w:rPr>
              <w:t>0.268</w:t>
            </w:r>
          </w:p>
        </w:tc>
      </w:tr>
      <w:tr w:rsidR="00AD3A2C" w:rsidRPr="00245623" w14:paraId="083AE7D6" w14:textId="77777777" w:rsidTr="00C00292">
        <w:trPr>
          <w:trHeight w:val="593"/>
        </w:trPr>
        <w:tc>
          <w:tcPr>
            <w:tcW w:w="1827" w:type="dxa"/>
            <w:tcBorders>
              <w:top w:val="nil"/>
              <w:left w:val="nil"/>
              <w:bottom w:val="single" w:sz="4" w:space="0" w:color="auto"/>
              <w:right w:val="nil"/>
            </w:tcBorders>
            <w:vAlign w:val="center"/>
          </w:tcPr>
          <w:p w14:paraId="73326F65" w14:textId="77777777" w:rsidR="00AD3A2C" w:rsidRPr="00245623" w:rsidRDefault="00AD3A2C" w:rsidP="00AD3A2C">
            <w:pPr>
              <w:jc w:val="center"/>
              <w:rPr>
                <w:b/>
                <w:sz w:val="20"/>
                <w:szCs w:val="20"/>
              </w:rPr>
            </w:pPr>
          </w:p>
        </w:tc>
        <w:tc>
          <w:tcPr>
            <w:tcW w:w="2006" w:type="dxa"/>
            <w:tcBorders>
              <w:top w:val="nil"/>
              <w:left w:val="nil"/>
              <w:bottom w:val="single" w:sz="4" w:space="0" w:color="auto"/>
              <w:right w:val="nil"/>
            </w:tcBorders>
            <w:vAlign w:val="center"/>
          </w:tcPr>
          <w:p w14:paraId="70E8663B" w14:textId="361E1F03" w:rsidR="00AD3A2C" w:rsidRPr="00245623" w:rsidRDefault="00AD3A2C" w:rsidP="00AD3A2C">
            <w:pPr>
              <w:jc w:val="center"/>
              <w:rPr>
                <w:b/>
                <w:sz w:val="20"/>
                <w:szCs w:val="20"/>
              </w:rPr>
            </w:pPr>
            <w:r w:rsidRPr="00245623">
              <w:rPr>
                <w:b/>
                <w:sz w:val="20"/>
                <w:szCs w:val="20"/>
              </w:rPr>
              <w:t>Glu</w:t>
            </w:r>
          </w:p>
        </w:tc>
        <w:tc>
          <w:tcPr>
            <w:tcW w:w="2006" w:type="dxa"/>
            <w:tcBorders>
              <w:top w:val="nil"/>
              <w:left w:val="nil"/>
              <w:bottom w:val="single" w:sz="4" w:space="0" w:color="auto"/>
              <w:right w:val="nil"/>
            </w:tcBorders>
            <w:vAlign w:val="center"/>
          </w:tcPr>
          <w:p w14:paraId="1EA6DF0B" w14:textId="3C98818B" w:rsidR="00AD3A2C" w:rsidRPr="00245623" w:rsidRDefault="00AD3A2C" w:rsidP="00AD3A2C">
            <w:pPr>
              <w:jc w:val="center"/>
              <w:rPr>
                <w:sz w:val="20"/>
                <w:szCs w:val="20"/>
              </w:rPr>
            </w:pPr>
            <w:r w:rsidRPr="00245623">
              <w:rPr>
                <w:sz w:val="20"/>
                <w:szCs w:val="20"/>
              </w:rPr>
              <w:t>0.143 ± 0.027</w:t>
            </w:r>
          </w:p>
        </w:tc>
        <w:tc>
          <w:tcPr>
            <w:tcW w:w="1979" w:type="dxa"/>
            <w:tcBorders>
              <w:top w:val="nil"/>
              <w:left w:val="nil"/>
              <w:bottom w:val="single" w:sz="4" w:space="0" w:color="auto"/>
              <w:right w:val="nil"/>
            </w:tcBorders>
            <w:vAlign w:val="center"/>
          </w:tcPr>
          <w:p w14:paraId="02C77B59" w14:textId="41AE87F7" w:rsidR="00AD3A2C" w:rsidRPr="00245623" w:rsidRDefault="00AD3A2C" w:rsidP="00AD3A2C">
            <w:pPr>
              <w:jc w:val="center"/>
              <w:rPr>
                <w:sz w:val="20"/>
                <w:szCs w:val="20"/>
              </w:rPr>
            </w:pPr>
            <w:r w:rsidRPr="00245623">
              <w:rPr>
                <w:sz w:val="20"/>
                <w:szCs w:val="20"/>
              </w:rPr>
              <w:t>0.127 ± 0.020</w:t>
            </w:r>
          </w:p>
        </w:tc>
        <w:tc>
          <w:tcPr>
            <w:tcW w:w="1979" w:type="dxa"/>
            <w:tcBorders>
              <w:top w:val="nil"/>
              <w:left w:val="nil"/>
              <w:bottom w:val="single" w:sz="2" w:space="0" w:color="auto"/>
              <w:right w:val="nil"/>
            </w:tcBorders>
            <w:vAlign w:val="center"/>
          </w:tcPr>
          <w:p w14:paraId="39D3AA59" w14:textId="5FA2D9BB" w:rsidR="00AD3A2C" w:rsidRPr="00245623" w:rsidRDefault="00AD3A2C" w:rsidP="00AD3A2C">
            <w:pPr>
              <w:jc w:val="center"/>
              <w:rPr>
                <w:b/>
                <w:bCs/>
                <w:sz w:val="20"/>
                <w:szCs w:val="20"/>
              </w:rPr>
            </w:pPr>
            <w:r w:rsidRPr="00245623">
              <w:rPr>
                <w:bCs/>
                <w:sz w:val="20"/>
                <w:szCs w:val="20"/>
              </w:rPr>
              <w:t>0.210</w:t>
            </w:r>
          </w:p>
        </w:tc>
      </w:tr>
      <w:tr w:rsidR="00AD3A2C" w:rsidRPr="00245623" w14:paraId="72D4435F" w14:textId="77777777" w:rsidTr="00C00292">
        <w:trPr>
          <w:trHeight w:val="593"/>
        </w:trPr>
        <w:tc>
          <w:tcPr>
            <w:tcW w:w="1827" w:type="dxa"/>
            <w:vMerge w:val="restart"/>
            <w:tcBorders>
              <w:top w:val="single" w:sz="4" w:space="0" w:color="auto"/>
              <w:left w:val="nil"/>
              <w:bottom w:val="single" w:sz="18" w:space="0" w:color="auto"/>
              <w:right w:val="nil"/>
            </w:tcBorders>
            <w:vAlign w:val="center"/>
          </w:tcPr>
          <w:p w14:paraId="46125952" w14:textId="77777777" w:rsidR="00AD3A2C" w:rsidRPr="00245623" w:rsidRDefault="00AD3A2C" w:rsidP="00AD3A2C">
            <w:pPr>
              <w:jc w:val="center"/>
              <w:rPr>
                <w:b/>
                <w:sz w:val="20"/>
                <w:szCs w:val="20"/>
              </w:rPr>
            </w:pPr>
            <w:r w:rsidRPr="00245623">
              <w:rPr>
                <w:b/>
                <w:sz w:val="20"/>
                <w:szCs w:val="20"/>
              </w:rPr>
              <w:t>Concentration</w:t>
            </w:r>
          </w:p>
          <w:p w14:paraId="48F986CA" w14:textId="77777777" w:rsidR="00AD3A2C" w:rsidRPr="00245623" w:rsidRDefault="00AD3A2C" w:rsidP="00AD3A2C">
            <w:pPr>
              <w:jc w:val="center"/>
              <w:rPr>
                <w:b/>
                <w:sz w:val="20"/>
                <w:szCs w:val="20"/>
              </w:rPr>
            </w:pPr>
          </w:p>
        </w:tc>
        <w:tc>
          <w:tcPr>
            <w:tcW w:w="2006" w:type="dxa"/>
            <w:tcBorders>
              <w:top w:val="single" w:sz="4" w:space="0" w:color="auto"/>
              <w:left w:val="nil"/>
              <w:bottom w:val="nil"/>
              <w:right w:val="nil"/>
            </w:tcBorders>
          </w:tcPr>
          <w:p w14:paraId="27B4D1B8" w14:textId="77777777" w:rsidR="00AD3A2C" w:rsidRPr="00245623" w:rsidRDefault="00AD3A2C" w:rsidP="00AD3A2C">
            <w:pPr>
              <w:jc w:val="center"/>
              <w:rPr>
                <w:sz w:val="20"/>
                <w:szCs w:val="20"/>
              </w:rPr>
            </w:pPr>
          </w:p>
        </w:tc>
        <w:tc>
          <w:tcPr>
            <w:tcW w:w="2006" w:type="dxa"/>
            <w:tcBorders>
              <w:top w:val="single" w:sz="4" w:space="0" w:color="auto"/>
              <w:left w:val="nil"/>
              <w:bottom w:val="single" w:sz="4" w:space="0" w:color="auto"/>
              <w:right w:val="nil"/>
            </w:tcBorders>
            <w:vAlign w:val="center"/>
          </w:tcPr>
          <w:p w14:paraId="5EDE4D9E" w14:textId="77777777" w:rsidR="00AD3A2C" w:rsidRPr="00245623" w:rsidRDefault="00AD3A2C" w:rsidP="00AD3A2C">
            <w:pPr>
              <w:jc w:val="center"/>
              <w:rPr>
                <w:sz w:val="20"/>
                <w:szCs w:val="20"/>
              </w:rPr>
            </w:pPr>
            <w:r w:rsidRPr="00245623">
              <w:rPr>
                <w:b/>
                <w:sz w:val="20"/>
                <w:szCs w:val="20"/>
              </w:rPr>
              <w:t>CPZ (n = 8)</w:t>
            </w:r>
          </w:p>
        </w:tc>
        <w:tc>
          <w:tcPr>
            <w:tcW w:w="1979" w:type="dxa"/>
            <w:tcBorders>
              <w:top w:val="single" w:sz="4" w:space="0" w:color="auto"/>
              <w:left w:val="nil"/>
              <w:bottom w:val="single" w:sz="4" w:space="0" w:color="auto"/>
              <w:right w:val="nil"/>
            </w:tcBorders>
            <w:vAlign w:val="center"/>
          </w:tcPr>
          <w:p w14:paraId="11549512" w14:textId="0E360795" w:rsidR="00AD3A2C" w:rsidRPr="00245623" w:rsidRDefault="00AD3A2C" w:rsidP="00AD3A2C">
            <w:pPr>
              <w:jc w:val="center"/>
              <w:rPr>
                <w:sz w:val="20"/>
                <w:szCs w:val="20"/>
              </w:rPr>
            </w:pPr>
            <w:r w:rsidRPr="00245623">
              <w:rPr>
                <w:b/>
                <w:color w:val="000000" w:themeColor="text1"/>
                <w:sz w:val="20"/>
                <w:szCs w:val="20"/>
              </w:rPr>
              <w:t>Control (n = 8)</w:t>
            </w:r>
          </w:p>
        </w:tc>
        <w:tc>
          <w:tcPr>
            <w:tcW w:w="1979" w:type="dxa"/>
            <w:tcBorders>
              <w:top w:val="single" w:sz="2" w:space="0" w:color="auto"/>
              <w:left w:val="nil"/>
              <w:bottom w:val="single" w:sz="4" w:space="0" w:color="auto"/>
              <w:right w:val="nil"/>
            </w:tcBorders>
          </w:tcPr>
          <w:p w14:paraId="74E791E0" w14:textId="77777777" w:rsidR="00AD3A2C" w:rsidRPr="00245623" w:rsidRDefault="00AD3A2C" w:rsidP="00AD3A2C">
            <w:pPr>
              <w:jc w:val="center"/>
              <w:rPr>
                <w:b/>
                <w:color w:val="000000" w:themeColor="text1"/>
                <w:sz w:val="20"/>
                <w:szCs w:val="20"/>
              </w:rPr>
            </w:pPr>
          </w:p>
        </w:tc>
      </w:tr>
      <w:tr w:rsidR="00AD3A2C" w:rsidRPr="00245623" w14:paraId="5C8088DC" w14:textId="77777777" w:rsidTr="00C00292">
        <w:trPr>
          <w:trHeight w:val="593"/>
        </w:trPr>
        <w:tc>
          <w:tcPr>
            <w:tcW w:w="1827" w:type="dxa"/>
            <w:vMerge/>
            <w:tcBorders>
              <w:left w:val="nil"/>
              <w:bottom w:val="single" w:sz="18" w:space="0" w:color="auto"/>
              <w:right w:val="nil"/>
            </w:tcBorders>
            <w:vAlign w:val="center"/>
          </w:tcPr>
          <w:p w14:paraId="54297D3C" w14:textId="77777777" w:rsidR="00AD3A2C" w:rsidRPr="00245623" w:rsidRDefault="00AD3A2C" w:rsidP="00AD3A2C">
            <w:pPr>
              <w:jc w:val="center"/>
              <w:rPr>
                <w:b/>
                <w:sz w:val="20"/>
                <w:szCs w:val="20"/>
              </w:rPr>
            </w:pPr>
          </w:p>
        </w:tc>
        <w:tc>
          <w:tcPr>
            <w:tcW w:w="2006" w:type="dxa"/>
            <w:tcBorders>
              <w:top w:val="nil"/>
              <w:left w:val="nil"/>
              <w:bottom w:val="nil"/>
              <w:right w:val="nil"/>
            </w:tcBorders>
            <w:vAlign w:val="center"/>
          </w:tcPr>
          <w:p w14:paraId="56B64C06" w14:textId="72365E3C" w:rsidR="00AD3A2C" w:rsidRPr="00245623" w:rsidRDefault="00AD3A2C" w:rsidP="00AD3A2C">
            <w:pPr>
              <w:jc w:val="center"/>
              <w:rPr>
                <w:sz w:val="20"/>
                <w:szCs w:val="20"/>
              </w:rPr>
            </w:pPr>
            <w:proofErr w:type="spellStart"/>
            <w:proofErr w:type="gramStart"/>
            <w:r w:rsidRPr="00245623">
              <w:rPr>
                <w:b/>
                <w:sz w:val="20"/>
                <w:szCs w:val="20"/>
              </w:rPr>
              <w:t>mIns</w:t>
            </w:r>
            <w:proofErr w:type="spellEnd"/>
            <w:proofErr w:type="gramEnd"/>
            <w:r w:rsidRPr="00245623">
              <w:rPr>
                <w:b/>
                <w:sz w:val="20"/>
                <w:szCs w:val="20"/>
              </w:rPr>
              <w:t>/</w:t>
            </w:r>
            <w:proofErr w:type="spellStart"/>
            <w:r w:rsidRPr="00245623">
              <w:rPr>
                <w:b/>
                <w:sz w:val="20"/>
                <w:szCs w:val="20"/>
              </w:rPr>
              <w:t>tCr</w:t>
            </w:r>
            <w:proofErr w:type="spellEnd"/>
          </w:p>
        </w:tc>
        <w:tc>
          <w:tcPr>
            <w:tcW w:w="2006" w:type="dxa"/>
            <w:tcBorders>
              <w:top w:val="single" w:sz="4" w:space="0" w:color="auto"/>
              <w:left w:val="nil"/>
              <w:bottom w:val="nil"/>
              <w:right w:val="nil"/>
            </w:tcBorders>
            <w:vAlign w:val="center"/>
          </w:tcPr>
          <w:p w14:paraId="2A8F6B3B" w14:textId="3BB6F292" w:rsidR="00AD3A2C" w:rsidRPr="00245623" w:rsidRDefault="00AD3A2C" w:rsidP="00AD3A2C">
            <w:pPr>
              <w:jc w:val="center"/>
              <w:rPr>
                <w:bCs/>
                <w:sz w:val="20"/>
                <w:szCs w:val="20"/>
              </w:rPr>
            </w:pPr>
            <w:r w:rsidRPr="00245623">
              <w:rPr>
                <w:bCs/>
                <w:color w:val="000000" w:themeColor="text1"/>
                <w:sz w:val="20"/>
                <w:szCs w:val="20"/>
              </w:rPr>
              <w:t xml:space="preserve">0.331 </w:t>
            </w:r>
            <w:r w:rsidRPr="00245623">
              <w:rPr>
                <w:sz w:val="20"/>
                <w:szCs w:val="20"/>
              </w:rPr>
              <w:t>± 0.045</w:t>
            </w:r>
          </w:p>
        </w:tc>
        <w:tc>
          <w:tcPr>
            <w:tcW w:w="1979" w:type="dxa"/>
            <w:tcBorders>
              <w:top w:val="single" w:sz="4" w:space="0" w:color="auto"/>
              <w:left w:val="nil"/>
              <w:bottom w:val="nil"/>
              <w:right w:val="nil"/>
            </w:tcBorders>
            <w:vAlign w:val="center"/>
          </w:tcPr>
          <w:p w14:paraId="5B11833C" w14:textId="1F90BF18" w:rsidR="00AD3A2C" w:rsidRPr="00245623" w:rsidRDefault="00AD3A2C" w:rsidP="00AD3A2C">
            <w:pPr>
              <w:jc w:val="center"/>
              <w:rPr>
                <w:b/>
                <w:color w:val="000000" w:themeColor="text1"/>
                <w:sz w:val="20"/>
                <w:szCs w:val="20"/>
              </w:rPr>
            </w:pPr>
            <w:r w:rsidRPr="00245623">
              <w:rPr>
                <w:bCs/>
                <w:color w:val="000000" w:themeColor="text1"/>
                <w:sz w:val="20"/>
                <w:szCs w:val="20"/>
              </w:rPr>
              <w:t xml:space="preserve">0.355 </w:t>
            </w:r>
            <w:r w:rsidRPr="00245623">
              <w:rPr>
                <w:sz w:val="20"/>
                <w:szCs w:val="20"/>
              </w:rPr>
              <w:t>± 0.044</w:t>
            </w:r>
          </w:p>
        </w:tc>
        <w:tc>
          <w:tcPr>
            <w:tcW w:w="1979" w:type="dxa"/>
            <w:tcBorders>
              <w:top w:val="single" w:sz="4" w:space="0" w:color="auto"/>
              <w:left w:val="nil"/>
              <w:bottom w:val="nil"/>
              <w:right w:val="nil"/>
            </w:tcBorders>
            <w:vAlign w:val="center"/>
          </w:tcPr>
          <w:p w14:paraId="49E4759B" w14:textId="042A093C" w:rsidR="00AD3A2C" w:rsidRPr="00245623" w:rsidRDefault="00AD3A2C" w:rsidP="00AD3A2C">
            <w:pPr>
              <w:jc w:val="center"/>
              <w:rPr>
                <w:b/>
                <w:sz w:val="20"/>
                <w:szCs w:val="20"/>
              </w:rPr>
            </w:pPr>
            <w:r w:rsidRPr="00245623">
              <w:rPr>
                <w:bCs/>
                <w:color w:val="000000" w:themeColor="text1"/>
                <w:sz w:val="20"/>
                <w:szCs w:val="20"/>
              </w:rPr>
              <w:t>0.294</w:t>
            </w:r>
          </w:p>
        </w:tc>
      </w:tr>
      <w:tr w:rsidR="00AD3A2C" w:rsidRPr="00245623" w14:paraId="6F6E4917" w14:textId="77777777" w:rsidTr="00C00292">
        <w:trPr>
          <w:trHeight w:val="593"/>
        </w:trPr>
        <w:tc>
          <w:tcPr>
            <w:tcW w:w="1827" w:type="dxa"/>
            <w:vMerge/>
            <w:tcBorders>
              <w:left w:val="nil"/>
              <w:bottom w:val="single" w:sz="18" w:space="0" w:color="auto"/>
              <w:right w:val="nil"/>
            </w:tcBorders>
            <w:vAlign w:val="center"/>
          </w:tcPr>
          <w:p w14:paraId="335B6910" w14:textId="77777777" w:rsidR="00AD3A2C" w:rsidRPr="00245623" w:rsidRDefault="00AD3A2C" w:rsidP="00AD3A2C">
            <w:pPr>
              <w:jc w:val="center"/>
              <w:rPr>
                <w:b/>
                <w:sz w:val="20"/>
                <w:szCs w:val="20"/>
              </w:rPr>
            </w:pPr>
          </w:p>
        </w:tc>
        <w:tc>
          <w:tcPr>
            <w:tcW w:w="2006" w:type="dxa"/>
            <w:tcBorders>
              <w:top w:val="nil"/>
              <w:left w:val="nil"/>
              <w:bottom w:val="nil"/>
              <w:right w:val="nil"/>
            </w:tcBorders>
            <w:vAlign w:val="center"/>
          </w:tcPr>
          <w:p w14:paraId="54DA4974" w14:textId="02013996" w:rsidR="00AD3A2C" w:rsidRPr="00245623" w:rsidRDefault="00AD3A2C" w:rsidP="00AD3A2C">
            <w:pPr>
              <w:jc w:val="center"/>
              <w:rPr>
                <w:b/>
                <w:sz w:val="20"/>
                <w:szCs w:val="20"/>
              </w:rPr>
            </w:pPr>
            <w:proofErr w:type="spellStart"/>
            <w:proofErr w:type="gramStart"/>
            <w:r w:rsidRPr="00245623">
              <w:rPr>
                <w:b/>
                <w:sz w:val="20"/>
                <w:szCs w:val="20"/>
              </w:rPr>
              <w:t>tCho</w:t>
            </w:r>
            <w:proofErr w:type="spellEnd"/>
            <w:proofErr w:type="gramEnd"/>
            <w:r w:rsidRPr="00245623">
              <w:rPr>
                <w:b/>
                <w:sz w:val="20"/>
                <w:szCs w:val="20"/>
              </w:rPr>
              <w:t>/</w:t>
            </w:r>
            <w:proofErr w:type="spellStart"/>
            <w:r w:rsidRPr="00245623">
              <w:rPr>
                <w:b/>
                <w:sz w:val="20"/>
                <w:szCs w:val="20"/>
              </w:rPr>
              <w:t>tCr</w:t>
            </w:r>
            <w:proofErr w:type="spellEnd"/>
          </w:p>
        </w:tc>
        <w:tc>
          <w:tcPr>
            <w:tcW w:w="2006" w:type="dxa"/>
            <w:tcBorders>
              <w:top w:val="nil"/>
              <w:left w:val="nil"/>
              <w:bottom w:val="nil"/>
              <w:right w:val="nil"/>
            </w:tcBorders>
            <w:vAlign w:val="center"/>
          </w:tcPr>
          <w:p w14:paraId="5540BB49" w14:textId="667D9590" w:rsidR="00AD3A2C" w:rsidRPr="00245623" w:rsidRDefault="00AD3A2C" w:rsidP="00AD3A2C">
            <w:pPr>
              <w:jc w:val="center"/>
              <w:rPr>
                <w:bCs/>
                <w:sz w:val="20"/>
                <w:szCs w:val="20"/>
              </w:rPr>
            </w:pPr>
            <w:r w:rsidRPr="00245623">
              <w:rPr>
                <w:bCs/>
                <w:color w:val="000000" w:themeColor="text1"/>
                <w:sz w:val="20"/>
                <w:szCs w:val="20"/>
              </w:rPr>
              <w:t xml:space="preserve">0.090 </w:t>
            </w:r>
            <w:r w:rsidRPr="00245623">
              <w:rPr>
                <w:sz w:val="20"/>
                <w:szCs w:val="20"/>
              </w:rPr>
              <w:t>± 0.020</w:t>
            </w:r>
          </w:p>
        </w:tc>
        <w:tc>
          <w:tcPr>
            <w:tcW w:w="1979" w:type="dxa"/>
            <w:tcBorders>
              <w:top w:val="nil"/>
              <w:left w:val="nil"/>
              <w:bottom w:val="nil"/>
              <w:right w:val="nil"/>
            </w:tcBorders>
            <w:vAlign w:val="center"/>
          </w:tcPr>
          <w:p w14:paraId="2F5DB8AF" w14:textId="7ADF9897" w:rsidR="00AD3A2C" w:rsidRPr="00245623" w:rsidRDefault="00AD3A2C" w:rsidP="00AD3A2C">
            <w:pPr>
              <w:jc w:val="center"/>
              <w:rPr>
                <w:bCs/>
                <w:sz w:val="20"/>
                <w:szCs w:val="20"/>
              </w:rPr>
            </w:pPr>
            <w:r w:rsidRPr="00245623">
              <w:rPr>
                <w:bCs/>
                <w:color w:val="000000" w:themeColor="text1"/>
                <w:sz w:val="20"/>
                <w:szCs w:val="20"/>
              </w:rPr>
              <w:t xml:space="preserve">0.142 </w:t>
            </w:r>
            <w:r w:rsidRPr="00245623">
              <w:rPr>
                <w:sz w:val="20"/>
                <w:szCs w:val="20"/>
              </w:rPr>
              <w:t>± 0.035</w:t>
            </w:r>
          </w:p>
        </w:tc>
        <w:tc>
          <w:tcPr>
            <w:tcW w:w="1979" w:type="dxa"/>
            <w:tcBorders>
              <w:top w:val="nil"/>
              <w:left w:val="nil"/>
              <w:bottom w:val="single" w:sz="2" w:space="0" w:color="auto"/>
              <w:right w:val="nil"/>
            </w:tcBorders>
            <w:vAlign w:val="center"/>
          </w:tcPr>
          <w:p w14:paraId="3982F142" w14:textId="6EEDCC8B" w:rsidR="00AD3A2C" w:rsidRPr="00245623" w:rsidRDefault="00AD3A2C" w:rsidP="00AD3A2C">
            <w:pPr>
              <w:jc w:val="center"/>
              <w:rPr>
                <w:b/>
                <w:sz w:val="20"/>
                <w:szCs w:val="20"/>
              </w:rPr>
            </w:pPr>
            <w:r w:rsidRPr="00245623">
              <w:rPr>
                <w:b/>
                <w:color w:val="000000" w:themeColor="text1"/>
                <w:sz w:val="20"/>
                <w:szCs w:val="20"/>
              </w:rPr>
              <w:t>0.002</w:t>
            </w:r>
          </w:p>
        </w:tc>
      </w:tr>
      <w:tr w:rsidR="00AD3A2C" w:rsidRPr="00245623" w14:paraId="19035FA1" w14:textId="77777777" w:rsidTr="00A37CF7">
        <w:trPr>
          <w:trHeight w:val="593"/>
        </w:trPr>
        <w:tc>
          <w:tcPr>
            <w:tcW w:w="1827" w:type="dxa"/>
            <w:vMerge/>
            <w:tcBorders>
              <w:left w:val="nil"/>
              <w:bottom w:val="single" w:sz="18" w:space="0" w:color="auto"/>
              <w:right w:val="nil"/>
            </w:tcBorders>
            <w:vAlign w:val="center"/>
          </w:tcPr>
          <w:p w14:paraId="4A0F39B0" w14:textId="77777777" w:rsidR="00AD3A2C" w:rsidRPr="00245623" w:rsidRDefault="00AD3A2C" w:rsidP="00AD3A2C">
            <w:pPr>
              <w:jc w:val="center"/>
              <w:rPr>
                <w:b/>
                <w:sz w:val="20"/>
                <w:szCs w:val="20"/>
              </w:rPr>
            </w:pPr>
          </w:p>
        </w:tc>
        <w:tc>
          <w:tcPr>
            <w:tcW w:w="2006" w:type="dxa"/>
            <w:tcBorders>
              <w:top w:val="nil"/>
              <w:left w:val="nil"/>
              <w:bottom w:val="nil"/>
              <w:right w:val="nil"/>
            </w:tcBorders>
            <w:vAlign w:val="center"/>
          </w:tcPr>
          <w:p w14:paraId="4524DFA4" w14:textId="77777777" w:rsidR="00AD3A2C" w:rsidRPr="00245623" w:rsidRDefault="00AD3A2C" w:rsidP="00AD3A2C">
            <w:pPr>
              <w:jc w:val="center"/>
              <w:rPr>
                <w:sz w:val="20"/>
                <w:szCs w:val="20"/>
              </w:rPr>
            </w:pPr>
          </w:p>
        </w:tc>
        <w:tc>
          <w:tcPr>
            <w:tcW w:w="2006" w:type="dxa"/>
            <w:tcBorders>
              <w:top w:val="single" w:sz="4" w:space="0" w:color="auto"/>
              <w:left w:val="nil"/>
              <w:bottom w:val="single" w:sz="4" w:space="0" w:color="auto"/>
              <w:right w:val="nil"/>
            </w:tcBorders>
            <w:vAlign w:val="center"/>
          </w:tcPr>
          <w:p w14:paraId="32A47417" w14:textId="77777777" w:rsidR="00AD3A2C" w:rsidRPr="00245623" w:rsidRDefault="00AD3A2C" w:rsidP="00AD3A2C">
            <w:pPr>
              <w:jc w:val="center"/>
              <w:rPr>
                <w:b/>
                <w:sz w:val="20"/>
                <w:szCs w:val="20"/>
              </w:rPr>
            </w:pPr>
            <w:r w:rsidRPr="00245623">
              <w:rPr>
                <w:b/>
                <w:sz w:val="20"/>
                <w:szCs w:val="20"/>
              </w:rPr>
              <w:t>CPZ (n = 8)</w:t>
            </w:r>
          </w:p>
        </w:tc>
        <w:tc>
          <w:tcPr>
            <w:tcW w:w="1979" w:type="dxa"/>
            <w:tcBorders>
              <w:top w:val="single" w:sz="4" w:space="0" w:color="auto"/>
              <w:left w:val="nil"/>
              <w:bottom w:val="single" w:sz="4" w:space="0" w:color="auto"/>
              <w:right w:val="nil"/>
            </w:tcBorders>
            <w:vAlign w:val="center"/>
          </w:tcPr>
          <w:p w14:paraId="6A066434" w14:textId="5F8B7581" w:rsidR="00AD3A2C" w:rsidRPr="00245623" w:rsidRDefault="00AD3A2C" w:rsidP="00AD3A2C">
            <w:pPr>
              <w:jc w:val="center"/>
              <w:rPr>
                <w:b/>
                <w:color w:val="000000" w:themeColor="text1"/>
                <w:sz w:val="20"/>
                <w:szCs w:val="20"/>
              </w:rPr>
            </w:pPr>
            <w:r w:rsidRPr="00245623">
              <w:rPr>
                <w:b/>
                <w:color w:val="000000" w:themeColor="text1"/>
                <w:sz w:val="20"/>
                <w:szCs w:val="20"/>
              </w:rPr>
              <w:t>Control</w:t>
            </w:r>
            <w:r w:rsidRPr="00245623">
              <w:rPr>
                <w:b/>
                <w:color w:val="000000" w:themeColor="text1"/>
                <w:sz w:val="20"/>
                <w:szCs w:val="20"/>
                <w:vertAlign w:val="subscript"/>
              </w:rPr>
              <w:t xml:space="preserve"> </w:t>
            </w:r>
            <w:r w:rsidRPr="00245623">
              <w:rPr>
                <w:b/>
                <w:color w:val="000000" w:themeColor="text1"/>
                <w:sz w:val="20"/>
                <w:szCs w:val="20"/>
              </w:rPr>
              <w:t>(n = 10)</w:t>
            </w:r>
          </w:p>
        </w:tc>
        <w:tc>
          <w:tcPr>
            <w:tcW w:w="1979" w:type="dxa"/>
            <w:tcBorders>
              <w:top w:val="single" w:sz="2" w:space="0" w:color="auto"/>
              <w:left w:val="nil"/>
              <w:bottom w:val="single" w:sz="2" w:space="0" w:color="auto"/>
              <w:right w:val="nil"/>
            </w:tcBorders>
          </w:tcPr>
          <w:p w14:paraId="123F1488" w14:textId="77777777" w:rsidR="00AD3A2C" w:rsidRPr="00245623" w:rsidRDefault="00AD3A2C" w:rsidP="00AD3A2C">
            <w:pPr>
              <w:jc w:val="center"/>
              <w:rPr>
                <w:b/>
                <w:color w:val="000000" w:themeColor="text1"/>
                <w:sz w:val="20"/>
                <w:szCs w:val="20"/>
              </w:rPr>
            </w:pPr>
          </w:p>
        </w:tc>
      </w:tr>
      <w:tr w:rsidR="00AD3A2C" w:rsidRPr="00245623" w14:paraId="3CA397F2" w14:textId="77777777" w:rsidTr="00C00292">
        <w:trPr>
          <w:trHeight w:val="593"/>
        </w:trPr>
        <w:tc>
          <w:tcPr>
            <w:tcW w:w="1827" w:type="dxa"/>
            <w:vMerge/>
            <w:tcBorders>
              <w:left w:val="nil"/>
              <w:bottom w:val="nil"/>
              <w:right w:val="nil"/>
            </w:tcBorders>
            <w:vAlign w:val="center"/>
          </w:tcPr>
          <w:p w14:paraId="31785C23" w14:textId="77777777" w:rsidR="00AD3A2C" w:rsidRPr="00245623" w:rsidRDefault="00AD3A2C" w:rsidP="00AD3A2C">
            <w:pPr>
              <w:jc w:val="center"/>
              <w:rPr>
                <w:b/>
                <w:sz w:val="20"/>
                <w:szCs w:val="20"/>
              </w:rPr>
            </w:pPr>
          </w:p>
        </w:tc>
        <w:tc>
          <w:tcPr>
            <w:tcW w:w="2006" w:type="dxa"/>
            <w:tcBorders>
              <w:top w:val="nil"/>
              <w:left w:val="nil"/>
              <w:bottom w:val="nil"/>
              <w:right w:val="nil"/>
            </w:tcBorders>
            <w:vAlign w:val="center"/>
          </w:tcPr>
          <w:p w14:paraId="71736A7A" w14:textId="228BAAEF" w:rsidR="00AD3A2C" w:rsidRPr="00245623" w:rsidRDefault="00AD3A2C" w:rsidP="00AD3A2C">
            <w:pPr>
              <w:jc w:val="center"/>
              <w:rPr>
                <w:sz w:val="20"/>
                <w:szCs w:val="20"/>
              </w:rPr>
            </w:pPr>
            <w:proofErr w:type="spellStart"/>
            <w:proofErr w:type="gramStart"/>
            <w:r w:rsidRPr="00245623">
              <w:rPr>
                <w:b/>
                <w:sz w:val="20"/>
                <w:szCs w:val="20"/>
              </w:rPr>
              <w:t>tNAA</w:t>
            </w:r>
            <w:proofErr w:type="spellEnd"/>
            <w:proofErr w:type="gramEnd"/>
            <w:r w:rsidRPr="00245623">
              <w:rPr>
                <w:b/>
                <w:sz w:val="20"/>
                <w:szCs w:val="20"/>
              </w:rPr>
              <w:t>/</w:t>
            </w:r>
            <w:proofErr w:type="spellStart"/>
            <w:r w:rsidRPr="00245623">
              <w:rPr>
                <w:b/>
                <w:sz w:val="20"/>
                <w:szCs w:val="20"/>
              </w:rPr>
              <w:t>tCr</w:t>
            </w:r>
            <w:proofErr w:type="spellEnd"/>
          </w:p>
        </w:tc>
        <w:tc>
          <w:tcPr>
            <w:tcW w:w="2006" w:type="dxa"/>
            <w:tcBorders>
              <w:top w:val="single" w:sz="4" w:space="0" w:color="auto"/>
              <w:left w:val="nil"/>
              <w:bottom w:val="nil"/>
              <w:right w:val="nil"/>
            </w:tcBorders>
            <w:vAlign w:val="center"/>
          </w:tcPr>
          <w:p w14:paraId="73C8BA43" w14:textId="02B58A2C" w:rsidR="00AD3A2C" w:rsidRPr="00245623" w:rsidRDefault="00AD3A2C" w:rsidP="00AD3A2C">
            <w:pPr>
              <w:jc w:val="center"/>
              <w:rPr>
                <w:b/>
                <w:sz w:val="20"/>
                <w:szCs w:val="20"/>
              </w:rPr>
            </w:pPr>
            <w:r w:rsidRPr="00245623">
              <w:rPr>
                <w:bCs/>
                <w:sz w:val="20"/>
                <w:szCs w:val="20"/>
              </w:rPr>
              <w:t xml:space="preserve">0.770 </w:t>
            </w:r>
            <w:r w:rsidRPr="00245623">
              <w:rPr>
                <w:sz w:val="20"/>
                <w:szCs w:val="20"/>
              </w:rPr>
              <w:t>± 0.096</w:t>
            </w:r>
          </w:p>
        </w:tc>
        <w:tc>
          <w:tcPr>
            <w:tcW w:w="1979" w:type="dxa"/>
            <w:tcBorders>
              <w:top w:val="single" w:sz="4" w:space="0" w:color="auto"/>
              <w:left w:val="nil"/>
              <w:bottom w:val="nil"/>
              <w:right w:val="nil"/>
            </w:tcBorders>
            <w:vAlign w:val="center"/>
          </w:tcPr>
          <w:p w14:paraId="769E8490" w14:textId="09826496" w:rsidR="00AD3A2C" w:rsidRPr="00245623" w:rsidRDefault="00AD3A2C" w:rsidP="00AD3A2C">
            <w:pPr>
              <w:jc w:val="center"/>
              <w:rPr>
                <w:bCs/>
                <w:color w:val="000000" w:themeColor="text1"/>
                <w:sz w:val="20"/>
                <w:szCs w:val="20"/>
              </w:rPr>
            </w:pPr>
            <w:r w:rsidRPr="00245623">
              <w:rPr>
                <w:bCs/>
                <w:sz w:val="20"/>
                <w:szCs w:val="20"/>
              </w:rPr>
              <w:t xml:space="preserve">0.913 </w:t>
            </w:r>
            <w:r w:rsidRPr="00245623">
              <w:rPr>
                <w:sz w:val="20"/>
                <w:szCs w:val="20"/>
              </w:rPr>
              <w:t>± 0.096</w:t>
            </w:r>
          </w:p>
        </w:tc>
        <w:tc>
          <w:tcPr>
            <w:tcW w:w="1979" w:type="dxa"/>
            <w:tcBorders>
              <w:top w:val="single" w:sz="2" w:space="0" w:color="auto"/>
              <w:left w:val="nil"/>
              <w:bottom w:val="nil"/>
              <w:right w:val="nil"/>
            </w:tcBorders>
            <w:vAlign w:val="center"/>
          </w:tcPr>
          <w:p w14:paraId="3A507BA1" w14:textId="6A5978DD" w:rsidR="00AD3A2C" w:rsidRPr="00245623" w:rsidRDefault="00AD3A2C" w:rsidP="00AD3A2C">
            <w:pPr>
              <w:jc w:val="center"/>
              <w:rPr>
                <w:b/>
                <w:color w:val="000000" w:themeColor="text1"/>
                <w:sz w:val="20"/>
                <w:szCs w:val="20"/>
              </w:rPr>
            </w:pPr>
            <w:r w:rsidRPr="00245623">
              <w:rPr>
                <w:b/>
                <w:sz w:val="20"/>
                <w:szCs w:val="20"/>
              </w:rPr>
              <w:t>0.007</w:t>
            </w:r>
          </w:p>
        </w:tc>
      </w:tr>
      <w:tr w:rsidR="00AD3A2C" w:rsidRPr="00245623" w14:paraId="031BE868" w14:textId="77777777" w:rsidTr="00C00292">
        <w:trPr>
          <w:trHeight w:val="593"/>
        </w:trPr>
        <w:tc>
          <w:tcPr>
            <w:tcW w:w="1827" w:type="dxa"/>
            <w:vMerge/>
            <w:tcBorders>
              <w:top w:val="nil"/>
              <w:left w:val="nil"/>
              <w:bottom w:val="nil"/>
              <w:right w:val="nil"/>
            </w:tcBorders>
            <w:vAlign w:val="center"/>
          </w:tcPr>
          <w:p w14:paraId="24155B1D" w14:textId="77777777" w:rsidR="00AD3A2C" w:rsidRPr="00245623" w:rsidRDefault="00AD3A2C" w:rsidP="00AD3A2C">
            <w:pPr>
              <w:jc w:val="center"/>
              <w:rPr>
                <w:b/>
                <w:sz w:val="20"/>
                <w:szCs w:val="20"/>
              </w:rPr>
            </w:pPr>
          </w:p>
        </w:tc>
        <w:tc>
          <w:tcPr>
            <w:tcW w:w="2006" w:type="dxa"/>
            <w:tcBorders>
              <w:top w:val="nil"/>
              <w:left w:val="nil"/>
              <w:bottom w:val="nil"/>
              <w:right w:val="nil"/>
            </w:tcBorders>
            <w:vAlign w:val="center"/>
          </w:tcPr>
          <w:p w14:paraId="62553888" w14:textId="23DD4A46" w:rsidR="00AD3A2C" w:rsidRPr="00245623" w:rsidRDefault="00AD3A2C" w:rsidP="00AD3A2C">
            <w:pPr>
              <w:jc w:val="center"/>
              <w:rPr>
                <w:sz w:val="20"/>
                <w:szCs w:val="20"/>
              </w:rPr>
            </w:pPr>
            <w:r w:rsidRPr="00245623">
              <w:rPr>
                <w:b/>
                <w:sz w:val="20"/>
                <w:szCs w:val="20"/>
              </w:rPr>
              <w:t>Tau/</w:t>
            </w:r>
            <w:proofErr w:type="spellStart"/>
            <w:r w:rsidRPr="00245623">
              <w:rPr>
                <w:b/>
                <w:sz w:val="20"/>
                <w:szCs w:val="20"/>
              </w:rPr>
              <w:t>tCr</w:t>
            </w:r>
            <w:proofErr w:type="spellEnd"/>
          </w:p>
        </w:tc>
        <w:tc>
          <w:tcPr>
            <w:tcW w:w="2006" w:type="dxa"/>
            <w:tcBorders>
              <w:top w:val="nil"/>
              <w:left w:val="nil"/>
              <w:bottom w:val="nil"/>
              <w:right w:val="nil"/>
            </w:tcBorders>
            <w:vAlign w:val="center"/>
          </w:tcPr>
          <w:p w14:paraId="7A66A0CE" w14:textId="3AEEAE58" w:rsidR="00AD3A2C" w:rsidRPr="00245623" w:rsidRDefault="00AD3A2C" w:rsidP="00AD3A2C">
            <w:pPr>
              <w:jc w:val="center"/>
              <w:rPr>
                <w:b/>
                <w:sz w:val="20"/>
                <w:szCs w:val="20"/>
              </w:rPr>
            </w:pPr>
            <w:r w:rsidRPr="00245623">
              <w:rPr>
                <w:bCs/>
                <w:color w:val="000000" w:themeColor="text1"/>
                <w:sz w:val="20"/>
                <w:szCs w:val="20"/>
              </w:rPr>
              <w:t xml:space="preserve">1.108 </w:t>
            </w:r>
            <w:r w:rsidRPr="00245623">
              <w:rPr>
                <w:sz w:val="20"/>
                <w:szCs w:val="20"/>
              </w:rPr>
              <w:t>± 0.095</w:t>
            </w:r>
          </w:p>
        </w:tc>
        <w:tc>
          <w:tcPr>
            <w:tcW w:w="1979" w:type="dxa"/>
            <w:tcBorders>
              <w:top w:val="nil"/>
              <w:left w:val="nil"/>
              <w:bottom w:val="nil"/>
              <w:right w:val="nil"/>
            </w:tcBorders>
            <w:vAlign w:val="center"/>
          </w:tcPr>
          <w:p w14:paraId="4E33F226" w14:textId="71A32D99" w:rsidR="00AD3A2C" w:rsidRPr="00245623" w:rsidRDefault="00AD3A2C" w:rsidP="00AD3A2C">
            <w:pPr>
              <w:jc w:val="center"/>
              <w:rPr>
                <w:bCs/>
                <w:color w:val="000000" w:themeColor="text1"/>
                <w:sz w:val="20"/>
                <w:szCs w:val="20"/>
              </w:rPr>
            </w:pPr>
            <w:r w:rsidRPr="00245623">
              <w:rPr>
                <w:bCs/>
                <w:color w:val="000000" w:themeColor="text1"/>
                <w:sz w:val="20"/>
                <w:szCs w:val="20"/>
              </w:rPr>
              <w:t xml:space="preserve">0.939 </w:t>
            </w:r>
            <w:r w:rsidRPr="00245623">
              <w:rPr>
                <w:sz w:val="20"/>
                <w:szCs w:val="20"/>
              </w:rPr>
              <w:t>± 0.110</w:t>
            </w:r>
          </w:p>
        </w:tc>
        <w:tc>
          <w:tcPr>
            <w:tcW w:w="1979" w:type="dxa"/>
            <w:tcBorders>
              <w:top w:val="nil"/>
              <w:left w:val="nil"/>
              <w:bottom w:val="nil"/>
              <w:right w:val="nil"/>
            </w:tcBorders>
            <w:vAlign w:val="center"/>
          </w:tcPr>
          <w:p w14:paraId="39DD8AA0" w14:textId="1C19394D" w:rsidR="00AD3A2C" w:rsidRPr="00245623" w:rsidRDefault="00AD3A2C" w:rsidP="00AD3A2C">
            <w:pPr>
              <w:jc w:val="center"/>
              <w:rPr>
                <w:b/>
                <w:color w:val="000000" w:themeColor="text1"/>
                <w:sz w:val="20"/>
                <w:szCs w:val="20"/>
              </w:rPr>
            </w:pPr>
            <w:r w:rsidRPr="00245623">
              <w:rPr>
                <w:b/>
                <w:color w:val="000000" w:themeColor="text1"/>
                <w:sz w:val="20"/>
                <w:szCs w:val="20"/>
              </w:rPr>
              <w:t>0.006</w:t>
            </w:r>
          </w:p>
        </w:tc>
      </w:tr>
      <w:tr w:rsidR="00AD3A2C" w:rsidRPr="00245623" w14:paraId="7284FDD1" w14:textId="77777777" w:rsidTr="00C00292">
        <w:trPr>
          <w:trHeight w:val="593"/>
        </w:trPr>
        <w:tc>
          <w:tcPr>
            <w:tcW w:w="1827" w:type="dxa"/>
            <w:vMerge/>
            <w:tcBorders>
              <w:top w:val="nil"/>
              <w:left w:val="nil"/>
              <w:bottom w:val="single" w:sz="18" w:space="0" w:color="auto"/>
              <w:right w:val="nil"/>
            </w:tcBorders>
            <w:vAlign w:val="center"/>
          </w:tcPr>
          <w:p w14:paraId="6B08EB30" w14:textId="77777777" w:rsidR="00AD3A2C" w:rsidRPr="00245623" w:rsidRDefault="00AD3A2C" w:rsidP="00AD3A2C">
            <w:pPr>
              <w:jc w:val="center"/>
              <w:rPr>
                <w:b/>
                <w:sz w:val="20"/>
                <w:szCs w:val="20"/>
              </w:rPr>
            </w:pPr>
          </w:p>
        </w:tc>
        <w:tc>
          <w:tcPr>
            <w:tcW w:w="2006" w:type="dxa"/>
            <w:tcBorders>
              <w:top w:val="nil"/>
              <w:left w:val="nil"/>
              <w:bottom w:val="single" w:sz="18" w:space="0" w:color="auto"/>
              <w:right w:val="nil"/>
            </w:tcBorders>
            <w:vAlign w:val="center"/>
          </w:tcPr>
          <w:p w14:paraId="50338D31" w14:textId="0EB7F60C" w:rsidR="00AD3A2C" w:rsidRPr="00245623" w:rsidRDefault="00AD3A2C" w:rsidP="00AD3A2C">
            <w:pPr>
              <w:jc w:val="center"/>
              <w:rPr>
                <w:sz w:val="20"/>
                <w:szCs w:val="20"/>
              </w:rPr>
            </w:pPr>
            <w:r w:rsidRPr="00245623">
              <w:rPr>
                <w:b/>
                <w:sz w:val="20"/>
                <w:szCs w:val="20"/>
              </w:rPr>
              <w:t>Glu/</w:t>
            </w:r>
            <w:proofErr w:type="spellStart"/>
            <w:r w:rsidRPr="00245623">
              <w:rPr>
                <w:b/>
                <w:sz w:val="20"/>
                <w:szCs w:val="20"/>
              </w:rPr>
              <w:t>tCr</w:t>
            </w:r>
            <w:proofErr w:type="spellEnd"/>
          </w:p>
        </w:tc>
        <w:tc>
          <w:tcPr>
            <w:tcW w:w="2006" w:type="dxa"/>
            <w:tcBorders>
              <w:top w:val="nil"/>
              <w:left w:val="nil"/>
              <w:bottom w:val="single" w:sz="18" w:space="0" w:color="auto"/>
              <w:right w:val="nil"/>
            </w:tcBorders>
            <w:vAlign w:val="center"/>
          </w:tcPr>
          <w:p w14:paraId="64BC7B46" w14:textId="4266F13E" w:rsidR="00AD3A2C" w:rsidRPr="00245623" w:rsidRDefault="00AD3A2C" w:rsidP="00AD3A2C">
            <w:pPr>
              <w:jc w:val="center"/>
              <w:rPr>
                <w:b/>
                <w:sz w:val="20"/>
                <w:szCs w:val="20"/>
              </w:rPr>
            </w:pPr>
            <w:r w:rsidRPr="00245623">
              <w:rPr>
                <w:bCs/>
                <w:color w:val="000000" w:themeColor="text1"/>
                <w:sz w:val="20"/>
                <w:szCs w:val="20"/>
              </w:rPr>
              <w:t xml:space="preserve">0.541 </w:t>
            </w:r>
            <w:r w:rsidRPr="00245623">
              <w:rPr>
                <w:sz w:val="20"/>
                <w:szCs w:val="20"/>
              </w:rPr>
              <w:t>± 0.054</w:t>
            </w:r>
          </w:p>
        </w:tc>
        <w:tc>
          <w:tcPr>
            <w:tcW w:w="1979" w:type="dxa"/>
            <w:tcBorders>
              <w:top w:val="nil"/>
              <w:left w:val="nil"/>
              <w:bottom w:val="single" w:sz="18" w:space="0" w:color="auto"/>
              <w:right w:val="nil"/>
            </w:tcBorders>
            <w:vAlign w:val="center"/>
          </w:tcPr>
          <w:p w14:paraId="2DD20A8B" w14:textId="0241AAEC" w:rsidR="00AD3A2C" w:rsidRPr="00245623" w:rsidRDefault="00AD3A2C" w:rsidP="00AD3A2C">
            <w:pPr>
              <w:jc w:val="center"/>
              <w:rPr>
                <w:b/>
                <w:color w:val="000000" w:themeColor="text1"/>
                <w:sz w:val="20"/>
                <w:szCs w:val="20"/>
              </w:rPr>
            </w:pPr>
            <w:r w:rsidRPr="00245623">
              <w:rPr>
                <w:bCs/>
                <w:color w:val="000000" w:themeColor="text1"/>
                <w:sz w:val="20"/>
                <w:szCs w:val="20"/>
              </w:rPr>
              <w:t xml:space="preserve">0.654 </w:t>
            </w:r>
            <w:r w:rsidRPr="00245623">
              <w:rPr>
                <w:sz w:val="20"/>
                <w:szCs w:val="20"/>
              </w:rPr>
              <w:t>± 0.070</w:t>
            </w:r>
          </w:p>
        </w:tc>
        <w:tc>
          <w:tcPr>
            <w:tcW w:w="1979" w:type="dxa"/>
            <w:tcBorders>
              <w:top w:val="nil"/>
              <w:left w:val="nil"/>
              <w:bottom w:val="single" w:sz="18" w:space="0" w:color="auto"/>
              <w:right w:val="nil"/>
            </w:tcBorders>
            <w:vAlign w:val="center"/>
          </w:tcPr>
          <w:p w14:paraId="6DEB2F5D" w14:textId="2C46D995" w:rsidR="00AD3A2C" w:rsidRPr="00245623" w:rsidRDefault="00AD3A2C" w:rsidP="00AD3A2C">
            <w:pPr>
              <w:jc w:val="center"/>
              <w:rPr>
                <w:bCs/>
                <w:color w:val="000000" w:themeColor="text1"/>
                <w:sz w:val="20"/>
                <w:szCs w:val="20"/>
              </w:rPr>
            </w:pPr>
            <w:r w:rsidRPr="00245623">
              <w:rPr>
                <w:b/>
                <w:bCs/>
                <w:color w:val="000000" w:themeColor="text1"/>
                <w:sz w:val="20"/>
                <w:szCs w:val="20"/>
              </w:rPr>
              <w:t>0.003</w:t>
            </w:r>
          </w:p>
        </w:tc>
      </w:tr>
    </w:tbl>
    <w:p w14:paraId="730A1EA7" w14:textId="77777777" w:rsidR="00EC0881" w:rsidRPr="00245623" w:rsidRDefault="00EC0881" w:rsidP="00EC0881">
      <w:pPr>
        <w:spacing w:line="480" w:lineRule="auto"/>
        <w:jc w:val="both"/>
        <w:rPr>
          <w:lang w:val="en-US"/>
        </w:rPr>
      </w:pPr>
      <w:r w:rsidRPr="00245623">
        <w:rPr>
          <w:lang w:val="en-US"/>
        </w:rPr>
        <w:t xml:space="preserve">Bold </w:t>
      </w:r>
      <w:r w:rsidRPr="00245623">
        <w:rPr>
          <w:i/>
          <w:lang w:val="en-US"/>
        </w:rPr>
        <w:t>p</w:t>
      </w:r>
      <w:r w:rsidRPr="00245623">
        <w:rPr>
          <w:lang w:val="en-US"/>
        </w:rPr>
        <w:t>-values indicate statistically significant differences.</w:t>
      </w:r>
    </w:p>
    <w:p w14:paraId="6646E3E0" w14:textId="4F6A3569" w:rsidR="00EC0881" w:rsidRPr="00245623" w:rsidRDefault="00914363" w:rsidP="00EC0881">
      <w:pPr>
        <w:spacing w:line="480" w:lineRule="auto"/>
        <w:jc w:val="both"/>
        <w:rPr>
          <w:color w:val="000000"/>
          <w:lang w:val="en-US"/>
        </w:rPr>
      </w:pPr>
      <w:proofErr w:type="spellStart"/>
      <w:r w:rsidRPr="00245623">
        <w:rPr>
          <w:lang w:val="en-US"/>
        </w:rPr>
        <w:t>Glu</w:t>
      </w:r>
      <w:proofErr w:type="spellEnd"/>
      <w:r w:rsidRPr="00245623">
        <w:rPr>
          <w:lang w:val="en-US"/>
        </w:rPr>
        <w:t xml:space="preserve">: glutamate; </w:t>
      </w:r>
      <w:proofErr w:type="spellStart"/>
      <w:r w:rsidR="00EC0881" w:rsidRPr="00245623">
        <w:rPr>
          <w:lang w:val="en-US"/>
        </w:rPr>
        <w:t>mIns</w:t>
      </w:r>
      <w:proofErr w:type="spellEnd"/>
      <w:r w:rsidR="00EC0881" w:rsidRPr="00245623">
        <w:rPr>
          <w:lang w:val="en-US"/>
        </w:rPr>
        <w:t xml:space="preserve">: myo-inositol; </w:t>
      </w:r>
      <w:proofErr w:type="spellStart"/>
      <w:r w:rsidR="00EC0881" w:rsidRPr="00245623">
        <w:rPr>
          <w:lang w:val="en-US"/>
        </w:rPr>
        <w:t>tCho</w:t>
      </w:r>
      <w:proofErr w:type="spellEnd"/>
      <w:r w:rsidR="00EC0881" w:rsidRPr="00245623">
        <w:rPr>
          <w:lang w:val="en-US"/>
        </w:rPr>
        <w:t xml:space="preserve">: choline compounds ; </w:t>
      </w:r>
      <w:proofErr w:type="spellStart"/>
      <w:r w:rsidR="00EC0881" w:rsidRPr="00245623">
        <w:rPr>
          <w:lang w:val="en-US"/>
        </w:rPr>
        <w:t>tCr</w:t>
      </w:r>
      <w:proofErr w:type="spellEnd"/>
      <w:r w:rsidR="00EC0881" w:rsidRPr="00245623">
        <w:rPr>
          <w:lang w:val="en-US"/>
        </w:rPr>
        <w:t xml:space="preserve"> : creatine + phosphocreatine ; </w:t>
      </w:r>
      <w:proofErr w:type="spellStart"/>
      <w:r w:rsidR="00EC0881" w:rsidRPr="00245623">
        <w:rPr>
          <w:lang w:val="en-US"/>
        </w:rPr>
        <w:t>tNAA</w:t>
      </w:r>
      <w:proofErr w:type="spellEnd"/>
      <w:r w:rsidR="00EC0881" w:rsidRPr="00245623">
        <w:rPr>
          <w:lang w:val="en-US"/>
        </w:rPr>
        <w:t xml:space="preserve">: </w:t>
      </w:r>
      <w:r w:rsidR="00EC0881" w:rsidRPr="00245623">
        <w:rPr>
          <w:i/>
          <w:lang w:val="en-US"/>
        </w:rPr>
        <w:t>N</w:t>
      </w:r>
      <w:r w:rsidR="00EC0881" w:rsidRPr="00245623">
        <w:rPr>
          <w:lang w:val="en-US"/>
        </w:rPr>
        <w:t>-</w:t>
      </w:r>
      <w:proofErr w:type="spellStart"/>
      <w:r w:rsidR="00EC0881" w:rsidRPr="00245623">
        <w:rPr>
          <w:lang w:val="en-US"/>
        </w:rPr>
        <w:t>acetylaspartate</w:t>
      </w:r>
      <w:proofErr w:type="spellEnd"/>
      <w:r w:rsidR="00EC0881" w:rsidRPr="00245623">
        <w:rPr>
          <w:lang w:val="en-US"/>
        </w:rPr>
        <w:t xml:space="preserve"> + </w:t>
      </w:r>
      <w:r w:rsidR="00EC0881" w:rsidRPr="00245623">
        <w:rPr>
          <w:i/>
          <w:lang w:val="en-US"/>
        </w:rPr>
        <w:t>N</w:t>
      </w:r>
      <w:r w:rsidR="00EC0881" w:rsidRPr="00245623">
        <w:rPr>
          <w:lang w:val="en-US"/>
        </w:rPr>
        <w:t>-</w:t>
      </w:r>
      <w:proofErr w:type="spellStart"/>
      <w:r w:rsidR="00EC0881" w:rsidRPr="00245623">
        <w:rPr>
          <w:lang w:val="en-US"/>
        </w:rPr>
        <w:t>acetylaspartylglutamate</w:t>
      </w:r>
      <w:proofErr w:type="spellEnd"/>
      <w:r w:rsidRPr="00245623">
        <w:rPr>
          <w:lang w:val="en-US"/>
        </w:rPr>
        <w:t>; Tau: taurine.</w:t>
      </w:r>
    </w:p>
    <w:p w14:paraId="657F476F" w14:textId="77777777" w:rsidR="00EC0881" w:rsidRPr="00245623" w:rsidRDefault="00EC0881" w:rsidP="00845F4A">
      <w:pPr>
        <w:rPr>
          <w:b/>
          <w:sz w:val="26"/>
          <w:szCs w:val="26"/>
          <w:lang w:val="en-US"/>
        </w:rPr>
      </w:pPr>
    </w:p>
    <w:p w14:paraId="57DB123C" w14:textId="77777777" w:rsidR="00EC0881" w:rsidRPr="00245623" w:rsidRDefault="00EC0881" w:rsidP="00845F4A">
      <w:pPr>
        <w:rPr>
          <w:b/>
          <w:sz w:val="26"/>
          <w:szCs w:val="26"/>
          <w:lang w:val="en-US"/>
        </w:rPr>
      </w:pPr>
    </w:p>
    <w:p w14:paraId="7BF9F2F4" w14:textId="77777777" w:rsidR="00EC0881" w:rsidRPr="00245623" w:rsidRDefault="00EC0881" w:rsidP="00845F4A">
      <w:pPr>
        <w:rPr>
          <w:b/>
          <w:sz w:val="26"/>
          <w:szCs w:val="26"/>
          <w:lang w:val="en-US"/>
        </w:rPr>
      </w:pPr>
    </w:p>
    <w:p w14:paraId="3DE1A82A" w14:textId="77777777" w:rsidR="00EC0881" w:rsidRPr="00245623" w:rsidRDefault="00EC0881" w:rsidP="00845F4A">
      <w:pPr>
        <w:rPr>
          <w:b/>
          <w:sz w:val="26"/>
          <w:szCs w:val="26"/>
          <w:lang w:val="en-US"/>
        </w:rPr>
      </w:pPr>
    </w:p>
    <w:p w14:paraId="6E9054DD" w14:textId="77777777" w:rsidR="00EC0881" w:rsidRPr="00245623" w:rsidRDefault="00EC0881" w:rsidP="00845F4A">
      <w:pPr>
        <w:rPr>
          <w:b/>
          <w:sz w:val="26"/>
          <w:szCs w:val="26"/>
          <w:lang w:val="en-US"/>
        </w:rPr>
      </w:pPr>
    </w:p>
    <w:p w14:paraId="5AF11FF1" w14:textId="77777777" w:rsidR="00EC0881" w:rsidRPr="00245623" w:rsidRDefault="00EC0881" w:rsidP="00845F4A">
      <w:pPr>
        <w:rPr>
          <w:b/>
          <w:sz w:val="26"/>
          <w:szCs w:val="26"/>
          <w:lang w:val="en-US"/>
        </w:rPr>
      </w:pPr>
    </w:p>
    <w:p w14:paraId="010C5E52" w14:textId="75E582B4" w:rsidR="00845F4A" w:rsidRPr="00245623" w:rsidRDefault="00845F4A" w:rsidP="00845F4A">
      <w:pPr>
        <w:rPr>
          <w:b/>
          <w:sz w:val="26"/>
          <w:szCs w:val="26"/>
          <w:lang w:val="en-US"/>
        </w:rPr>
      </w:pPr>
      <w:r w:rsidRPr="00245623">
        <w:rPr>
          <w:b/>
          <w:sz w:val="26"/>
          <w:szCs w:val="26"/>
          <w:lang w:val="en-US"/>
        </w:rPr>
        <w:lastRenderedPageBreak/>
        <w:t>Figure</w:t>
      </w:r>
      <w:r w:rsidR="006958D2">
        <w:rPr>
          <w:b/>
          <w:sz w:val="26"/>
          <w:szCs w:val="26"/>
          <w:lang w:val="en-US"/>
        </w:rPr>
        <w:t>s</w:t>
      </w:r>
    </w:p>
    <w:p w14:paraId="78FC01A3" w14:textId="556D6A50" w:rsidR="00F94672" w:rsidRPr="00245623" w:rsidRDefault="00B7108A" w:rsidP="00F94672">
      <w:pPr>
        <w:spacing w:line="480" w:lineRule="auto"/>
        <w:rPr>
          <w:b/>
          <w:lang w:val="en-US"/>
        </w:rPr>
      </w:pPr>
      <w:r w:rsidRPr="004D7E8A">
        <w:rPr>
          <w:b/>
          <w:noProof/>
        </w:rPr>
        <w:drawing>
          <wp:anchor distT="0" distB="0" distL="114300" distR="114300" simplePos="0" relativeHeight="251659264" behindDoc="0" locked="0" layoutInCell="1" allowOverlap="1" wp14:anchorId="12776C2C" wp14:editId="3BAA3CD4">
            <wp:simplePos x="0" y="0"/>
            <wp:positionH relativeFrom="column">
              <wp:posOffset>22860</wp:posOffset>
            </wp:positionH>
            <wp:positionV relativeFrom="paragraph">
              <wp:posOffset>212725</wp:posOffset>
            </wp:positionV>
            <wp:extent cx="5756910" cy="3076575"/>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01.tif"/>
                    <pic:cNvPicPr/>
                  </pic:nvPicPr>
                  <pic:blipFill>
                    <a:blip r:embed="rId9">
                      <a:extLst>
                        <a:ext uri="{28A0092B-C50C-407E-A947-70E740481C1C}">
                          <a14:useLocalDpi xmlns:a14="http://schemas.microsoft.com/office/drawing/2010/main" val="0"/>
                        </a:ext>
                      </a:extLst>
                    </a:blip>
                    <a:stretch>
                      <a:fillRect/>
                    </a:stretch>
                  </pic:blipFill>
                  <pic:spPr>
                    <a:xfrm>
                      <a:off x="0" y="0"/>
                      <a:ext cx="5756910" cy="3076575"/>
                    </a:xfrm>
                    <a:prstGeom prst="rect">
                      <a:avLst/>
                    </a:prstGeom>
                  </pic:spPr>
                </pic:pic>
              </a:graphicData>
            </a:graphic>
            <wp14:sizeRelH relativeFrom="page">
              <wp14:pctWidth>0</wp14:pctWidth>
            </wp14:sizeRelH>
            <wp14:sizeRelV relativeFrom="page">
              <wp14:pctHeight>0</wp14:pctHeight>
            </wp14:sizeRelV>
          </wp:anchor>
        </w:drawing>
      </w:r>
    </w:p>
    <w:p w14:paraId="65FD54DC" w14:textId="6CC686C0" w:rsidR="006958D2" w:rsidRDefault="006958D2" w:rsidP="00F71BB2">
      <w:pPr>
        <w:spacing w:line="480" w:lineRule="auto"/>
        <w:jc w:val="both"/>
        <w:rPr>
          <w:b/>
          <w:lang w:val="en-US"/>
        </w:rPr>
      </w:pPr>
    </w:p>
    <w:p w14:paraId="1462ABF4" w14:textId="1D3D7E41" w:rsidR="00F71BB2" w:rsidRPr="00245623" w:rsidRDefault="00845F4A" w:rsidP="00F71BB2">
      <w:pPr>
        <w:spacing w:line="480" w:lineRule="auto"/>
        <w:jc w:val="both"/>
        <w:rPr>
          <w:lang w:val="en-US"/>
        </w:rPr>
      </w:pPr>
      <w:r w:rsidRPr="00245623">
        <w:rPr>
          <w:b/>
          <w:lang w:val="en-US"/>
        </w:rPr>
        <w:t xml:space="preserve">Figure 1: Working hypotheses. </w:t>
      </w:r>
      <w:r w:rsidRPr="00245623">
        <w:rPr>
          <w:lang w:val="en-US"/>
        </w:rPr>
        <w:t>Schematic drawing of the known cellular alterations in CPZ mice after 6-week intoxication and expected corresponding changes in MRS</w:t>
      </w:r>
      <w:r w:rsidR="00A37CF7" w:rsidRPr="00245623">
        <w:rPr>
          <w:lang w:val="en-US"/>
        </w:rPr>
        <w:t>,</w:t>
      </w:r>
      <w:r w:rsidRPr="00245623">
        <w:rPr>
          <w:lang w:val="en-US"/>
        </w:rPr>
        <w:t xml:space="preserve"> DW-MRS </w:t>
      </w:r>
      <w:r w:rsidR="0012591D" w:rsidRPr="00245623">
        <w:rPr>
          <w:lang w:val="en-US"/>
        </w:rPr>
        <w:t xml:space="preserve">and IHC </w:t>
      </w:r>
      <w:r w:rsidRPr="00245623">
        <w:rPr>
          <w:lang w:val="en-US"/>
        </w:rPr>
        <w:t xml:space="preserve">markers (right) compared to control mice (left). </w:t>
      </w:r>
      <w:r w:rsidR="0012591D" w:rsidRPr="00245623">
        <w:rPr>
          <w:lang w:val="en-US"/>
        </w:rPr>
        <w:t xml:space="preserve">The </w:t>
      </w:r>
      <w:r w:rsidR="00D87F75" w:rsidRPr="00245623">
        <w:rPr>
          <w:lang w:val="en-US"/>
        </w:rPr>
        <w:t>observed</w:t>
      </w:r>
      <w:r w:rsidR="0012591D" w:rsidRPr="00245623">
        <w:rPr>
          <w:lang w:val="en-US"/>
        </w:rPr>
        <w:t xml:space="preserve"> changes</w:t>
      </w:r>
      <w:r w:rsidRPr="00245623">
        <w:rPr>
          <w:lang w:val="en-US"/>
        </w:rPr>
        <w:t xml:space="preserve"> are highlighted </w:t>
      </w:r>
      <w:r w:rsidR="0012591D" w:rsidRPr="00245623">
        <w:rPr>
          <w:lang w:val="en-US"/>
        </w:rPr>
        <w:t>in red</w:t>
      </w:r>
      <w:r w:rsidRPr="00245623">
        <w:rPr>
          <w:lang w:val="en-US"/>
        </w:rPr>
        <w:t xml:space="preserve">. ADC: apparent diffusion coefficient; CC1: </w:t>
      </w:r>
      <w:r w:rsidRPr="00245623">
        <w:rPr>
          <w:rFonts w:eastAsia="Liberation Serif"/>
          <w:lang w:val="en-US"/>
        </w:rPr>
        <w:t>adenomatous polyposis coli oligodendrocyte proteins;</w:t>
      </w:r>
      <w:r w:rsidRPr="00245623">
        <w:rPr>
          <w:lang w:val="en-US"/>
        </w:rPr>
        <w:t xml:space="preserve"> GFAP: glial fibrillary acidic protein; IBA1: </w:t>
      </w:r>
      <w:r w:rsidRPr="00245623">
        <w:rPr>
          <w:rFonts w:eastAsia="Liberation Serif"/>
          <w:lang w:val="en-US"/>
        </w:rPr>
        <w:t>adaptive molecule linking ionizing calcium 1;</w:t>
      </w:r>
      <w:r w:rsidRPr="00245623">
        <w:rPr>
          <w:lang w:val="en-US"/>
        </w:rPr>
        <w:t xml:space="preserve"> </w:t>
      </w:r>
      <w:proofErr w:type="spellStart"/>
      <w:r w:rsidRPr="00245623">
        <w:rPr>
          <w:lang w:val="en-US"/>
        </w:rPr>
        <w:t>mIns</w:t>
      </w:r>
      <w:proofErr w:type="spellEnd"/>
      <w:r w:rsidRPr="00245623">
        <w:rPr>
          <w:lang w:val="en-US"/>
        </w:rPr>
        <w:t xml:space="preserve">: </w:t>
      </w:r>
      <w:r w:rsidRPr="00245623">
        <w:rPr>
          <w:i/>
          <w:lang w:val="en-US"/>
        </w:rPr>
        <w:t>myo</w:t>
      </w:r>
      <w:r w:rsidRPr="00245623">
        <w:rPr>
          <w:lang w:val="en-US"/>
        </w:rPr>
        <w:t xml:space="preserve">-inositol; </w:t>
      </w:r>
      <w:proofErr w:type="spellStart"/>
      <w:r w:rsidRPr="00245623">
        <w:rPr>
          <w:lang w:val="en-US"/>
        </w:rPr>
        <w:t>tCho</w:t>
      </w:r>
      <w:proofErr w:type="spellEnd"/>
      <w:r w:rsidRPr="00245623">
        <w:rPr>
          <w:lang w:val="en-US"/>
        </w:rPr>
        <w:t xml:space="preserve">: choline compounds; </w:t>
      </w:r>
      <w:proofErr w:type="spellStart"/>
      <w:r w:rsidRPr="00245623">
        <w:rPr>
          <w:lang w:val="en-US"/>
        </w:rPr>
        <w:t>tCr</w:t>
      </w:r>
      <w:proofErr w:type="spellEnd"/>
      <w:r w:rsidRPr="00245623">
        <w:rPr>
          <w:lang w:val="en-US"/>
        </w:rPr>
        <w:t xml:space="preserve"> : creatine + phosphocreatine ; </w:t>
      </w:r>
      <w:proofErr w:type="spellStart"/>
      <w:r w:rsidRPr="00245623">
        <w:rPr>
          <w:lang w:val="en-US"/>
        </w:rPr>
        <w:t>tNAA</w:t>
      </w:r>
      <w:proofErr w:type="spellEnd"/>
      <w:r w:rsidRPr="00245623">
        <w:rPr>
          <w:lang w:val="en-US"/>
        </w:rPr>
        <w:t xml:space="preserve">: </w:t>
      </w:r>
      <w:r w:rsidRPr="00245623">
        <w:rPr>
          <w:i/>
          <w:lang w:val="en-US"/>
        </w:rPr>
        <w:t>N</w:t>
      </w:r>
      <w:r w:rsidRPr="00245623">
        <w:rPr>
          <w:lang w:val="en-US"/>
        </w:rPr>
        <w:t>-</w:t>
      </w:r>
      <w:proofErr w:type="spellStart"/>
      <w:r w:rsidRPr="00245623">
        <w:rPr>
          <w:lang w:val="en-US"/>
        </w:rPr>
        <w:t>acetylaspartate</w:t>
      </w:r>
      <w:proofErr w:type="spellEnd"/>
      <w:r w:rsidRPr="00245623">
        <w:rPr>
          <w:lang w:val="en-US"/>
        </w:rPr>
        <w:t xml:space="preserve"> + </w:t>
      </w:r>
      <w:r w:rsidRPr="00245623">
        <w:rPr>
          <w:i/>
          <w:lang w:val="en-US"/>
        </w:rPr>
        <w:t>N</w:t>
      </w:r>
      <w:r w:rsidRPr="00245623">
        <w:rPr>
          <w:lang w:val="en-US"/>
        </w:rPr>
        <w:t>-</w:t>
      </w:r>
      <w:proofErr w:type="spellStart"/>
      <w:r w:rsidRPr="00245623">
        <w:rPr>
          <w:lang w:val="en-US"/>
        </w:rPr>
        <w:t>acetylaspartylglutamate</w:t>
      </w:r>
      <w:proofErr w:type="spellEnd"/>
      <w:r w:rsidRPr="00245623">
        <w:rPr>
          <w:lang w:val="en-US"/>
        </w:rPr>
        <w:t>.</w:t>
      </w:r>
    </w:p>
    <w:p w14:paraId="1A97E45E" w14:textId="172C5921" w:rsidR="00F71BB2" w:rsidRDefault="00F71BB2" w:rsidP="00F71BB2">
      <w:pPr>
        <w:spacing w:line="480" w:lineRule="auto"/>
        <w:jc w:val="both"/>
        <w:rPr>
          <w:lang w:val="en-US"/>
        </w:rPr>
      </w:pPr>
    </w:p>
    <w:p w14:paraId="1B6417B0" w14:textId="0986EA1C" w:rsidR="00B7108A" w:rsidRDefault="00B7108A" w:rsidP="00F71BB2">
      <w:pPr>
        <w:spacing w:line="480" w:lineRule="auto"/>
        <w:jc w:val="both"/>
        <w:rPr>
          <w:lang w:val="en-US"/>
        </w:rPr>
      </w:pPr>
    </w:p>
    <w:p w14:paraId="17CFF92F" w14:textId="20973EB7" w:rsidR="00B7108A" w:rsidRDefault="00B7108A" w:rsidP="00F71BB2">
      <w:pPr>
        <w:spacing w:line="480" w:lineRule="auto"/>
        <w:jc w:val="both"/>
        <w:rPr>
          <w:lang w:val="en-US"/>
        </w:rPr>
      </w:pPr>
    </w:p>
    <w:p w14:paraId="654DC69F" w14:textId="73C9C149" w:rsidR="00B7108A" w:rsidRDefault="00B7108A" w:rsidP="00F71BB2">
      <w:pPr>
        <w:spacing w:line="480" w:lineRule="auto"/>
        <w:jc w:val="both"/>
        <w:rPr>
          <w:lang w:val="en-US"/>
        </w:rPr>
      </w:pPr>
    </w:p>
    <w:p w14:paraId="1E091392" w14:textId="5D4079DD" w:rsidR="00B7108A" w:rsidRDefault="00B7108A" w:rsidP="00F71BB2">
      <w:pPr>
        <w:spacing w:line="480" w:lineRule="auto"/>
        <w:jc w:val="both"/>
        <w:rPr>
          <w:lang w:val="en-US"/>
        </w:rPr>
      </w:pPr>
    </w:p>
    <w:p w14:paraId="0D900B79" w14:textId="6A14E1EB" w:rsidR="00B7108A" w:rsidRDefault="00B7108A" w:rsidP="00F71BB2">
      <w:pPr>
        <w:spacing w:line="480" w:lineRule="auto"/>
        <w:jc w:val="both"/>
        <w:rPr>
          <w:lang w:val="en-US"/>
        </w:rPr>
      </w:pPr>
    </w:p>
    <w:p w14:paraId="3E2BE0B8" w14:textId="3458BF59" w:rsidR="00B7108A" w:rsidRDefault="00B7108A" w:rsidP="00F71BB2">
      <w:pPr>
        <w:spacing w:line="480" w:lineRule="auto"/>
        <w:jc w:val="both"/>
        <w:rPr>
          <w:lang w:val="en-US"/>
        </w:rPr>
      </w:pPr>
    </w:p>
    <w:p w14:paraId="4BB17E44" w14:textId="7345D4BC" w:rsidR="00B7108A" w:rsidRDefault="00B7108A" w:rsidP="00F71BB2">
      <w:pPr>
        <w:spacing w:line="480" w:lineRule="auto"/>
        <w:jc w:val="both"/>
        <w:rPr>
          <w:lang w:val="en-US"/>
        </w:rPr>
      </w:pPr>
    </w:p>
    <w:p w14:paraId="58FF2EED" w14:textId="50B81309" w:rsidR="00B7108A" w:rsidRPr="00245623" w:rsidRDefault="00B7108A" w:rsidP="00F71BB2">
      <w:pPr>
        <w:spacing w:line="480" w:lineRule="auto"/>
        <w:jc w:val="both"/>
        <w:rPr>
          <w:lang w:val="en-US"/>
        </w:rPr>
      </w:pPr>
      <w:r>
        <w:rPr>
          <w:b/>
          <w:noProof/>
        </w:rPr>
        <w:lastRenderedPageBreak/>
        <w:drawing>
          <wp:anchor distT="0" distB="0" distL="114300" distR="114300" simplePos="0" relativeHeight="251661312" behindDoc="0" locked="0" layoutInCell="1" allowOverlap="1" wp14:anchorId="40BF3169" wp14:editId="23286130">
            <wp:simplePos x="0" y="0"/>
            <wp:positionH relativeFrom="column">
              <wp:posOffset>834390</wp:posOffset>
            </wp:positionH>
            <wp:positionV relativeFrom="paragraph">
              <wp:posOffset>102870</wp:posOffset>
            </wp:positionV>
            <wp:extent cx="4320540" cy="3742055"/>
            <wp:effectExtent l="0" t="0" r="0" b="4445"/>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tif"/>
                    <pic:cNvPicPr/>
                  </pic:nvPicPr>
                  <pic:blipFill>
                    <a:blip r:embed="rId10">
                      <a:extLst>
                        <a:ext uri="{28A0092B-C50C-407E-A947-70E740481C1C}">
                          <a14:useLocalDpi xmlns:a14="http://schemas.microsoft.com/office/drawing/2010/main" val="0"/>
                        </a:ext>
                      </a:extLst>
                    </a:blip>
                    <a:stretch>
                      <a:fillRect/>
                    </a:stretch>
                  </pic:blipFill>
                  <pic:spPr>
                    <a:xfrm>
                      <a:off x="0" y="0"/>
                      <a:ext cx="4320540" cy="3742055"/>
                    </a:xfrm>
                    <a:prstGeom prst="rect">
                      <a:avLst/>
                    </a:prstGeom>
                  </pic:spPr>
                </pic:pic>
              </a:graphicData>
            </a:graphic>
            <wp14:sizeRelH relativeFrom="page">
              <wp14:pctWidth>0</wp14:pctWidth>
            </wp14:sizeRelH>
            <wp14:sizeRelV relativeFrom="page">
              <wp14:pctHeight>0</wp14:pctHeight>
            </wp14:sizeRelV>
          </wp:anchor>
        </w:drawing>
      </w:r>
    </w:p>
    <w:p w14:paraId="1243DB32" w14:textId="5D1EC1E2" w:rsidR="007D21B9" w:rsidRPr="00245623" w:rsidRDefault="007D21B9" w:rsidP="00F71BB2">
      <w:pPr>
        <w:spacing w:line="480" w:lineRule="auto"/>
        <w:jc w:val="both"/>
        <w:rPr>
          <w:b/>
          <w:iCs/>
          <w:lang w:val="en-US"/>
        </w:rPr>
      </w:pPr>
      <w:r w:rsidRPr="00245623">
        <w:rPr>
          <w:b/>
          <w:iCs/>
          <w:lang w:val="en-US"/>
        </w:rPr>
        <w:t xml:space="preserve">Figure 2: Volumes of interest and DW-MRS spectra in control and CPZ mice. </w:t>
      </w:r>
    </w:p>
    <w:p w14:paraId="503CBE8B" w14:textId="6B77F348" w:rsidR="007D21B9" w:rsidRPr="00245623" w:rsidRDefault="007D21B9" w:rsidP="007D21B9">
      <w:pPr>
        <w:spacing w:line="480" w:lineRule="auto"/>
        <w:jc w:val="both"/>
        <w:rPr>
          <w:lang w:val="en-US"/>
        </w:rPr>
      </w:pPr>
      <w:r w:rsidRPr="00245623">
        <w:rPr>
          <w:iCs/>
          <w:lang w:val="en-US"/>
        </w:rPr>
        <w:t>A) Location of the VOIs in the body of the corpus callosum shown on coronal and sagittal views of T</w:t>
      </w:r>
      <w:r w:rsidRPr="00245623">
        <w:rPr>
          <w:iCs/>
          <w:vertAlign w:val="subscript"/>
          <w:lang w:val="en-US"/>
        </w:rPr>
        <w:t>2</w:t>
      </w:r>
      <w:r w:rsidRPr="00245623">
        <w:rPr>
          <w:iCs/>
          <w:lang w:val="en-US"/>
        </w:rPr>
        <w:t>-weighted images acquired in one control (left) and one CPZ (right) mice</w:t>
      </w:r>
      <w:r w:rsidR="006D1836" w:rsidRPr="00245623">
        <w:rPr>
          <w:iCs/>
          <w:lang w:val="en-US"/>
        </w:rPr>
        <w:t xml:space="preserve"> </w:t>
      </w:r>
      <w:r w:rsidR="006D1836" w:rsidRPr="00245623">
        <w:rPr>
          <w:lang w:val="en-US"/>
        </w:rPr>
        <w:t xml:space="preserve">(isotropic field of view, 16 mm; matrix size: 160 × 160; isotropic resolution, 0.1 mm; </w:t>
      </w:r>
      <w:r w:rsidR="006D1836" w:rsidRPr="00245623">
        <w:rPr>
          <w:i/>
          <w:lang w:val="en-US"/>
        </w:rPr>
        <w:t>T</w:t>
      </w:r>
      <w:r w:rsidR="006D1836" w:rsidRPr="00245623">
        <w:rPr>
          <w:vertAlign w:val="subscript"/>
          <w:lang w:val="en-US"/>
        </w:rPr>
        <w:t>R</w:t>
      </w:r>
      <w:r w:rsidR="006D1836" w:rsidRPr="00245623">
        <w:rPr>
          <w:lang w:val="en-US"/>
        </w:rPr>
        <w:t>/</w:t>
      </w:r>
      <w:r w:rsidR="006D1836" w:rsidRPr="00245623">
        <w:rPr>
          <w:i/>
          <w:lang w:val="en-US"/>
        </w:rPr>
        <w:t>T</w:t>
      </w:r>
      <w:r w:rsidR="006D1836" w:rsidRPr="00245623">
        <w:rPr>
          <w:vertAlign w:val="subscript"/>
          <w:lang w:val="en-US"/>
        </w:rPr>
        <w:t>E</w:t>
      </w:r>
      <w:r w:rsidR="006D1836" w:rsidRPr="00245623">
        <w:rPr>
          <w:lang w:val="en-US"/>
        </w:rPr>
        <w:t>, 1500/20 ms)</w:t>
      </w:r>
      <w:r w:rsidRPr="00245623">
        <w:rPr>
          <w:iCs/>
          <w:lang w:val="en-US"/>
        </w:rPr>
        <w:t xml:space="preserve">. </w:t>
      </w:r>
      <w:r w:rsidRPr="00245623">
        <w:rPr>
          <w:iCs/>
          <w:noProof/>
          <w:lang w:val="en-US"/>
        </w:rPr>
        <w:t xml:space="preserve">B) </w:t>
      </w:r>
      <w:r w:rsidRPr="00245623">
        <w:rPr>
          <w:color w:val="000000"/>
          <w:lang w:val="en-US"/>
        </w:rPr>
        <w:t xml:space="preserve">DW-MRS spectra acquired up to </w:t>
      </w:r>
      <w:r w:rsidRPr="00245623">
        <w:rPr>
          <w:i/>
          <w:color w:val="000000"/>
          <w:lang w:val="en-US"/>
        </w:rPr>
        <w:t>b</w:t>
      </w:r>
      <w:r w:rsidRPr="00245623">
        <w:rPr>
          <w:color w:val="000000"/>
          <w:lang w:val="en-US"/>
        </w:rPr>
        <w:t xml:space="preserve"> = 6 ms/</w:t>
      </w:r>
      <w:r w:rsidRPr="00245623">
        <w:rPr>
          <w:color w:val="000000"/>
          <w:lang w:val="en-US"/>
        </w:rPr>
        <w:sym w:font="Symbol" w:char="F06D"/>
      </w:r>
      <w:r w:rsidRPr="00245623">
        <w:rPr>
          <w:color w:val="000000"/>
          <w:lang w:val="en-US"/>
        </w:rPr>
        <w:t>m</w:t>
      </w:r>
      <w:r w:rsidRPr="00245623">
        <w:rPr>
          <w:color w:val="000000"/>
          <w:vertAlign w:val="superscript"/>
          <w:lang w:val="en-US"/>
        </w:rPr>
        <w:t>2</w:t>
      </w:r>
      <w:r w:rsidRPr="00245623">
        <w:rPr>
          <w:color w:val="000000"/>
          <w:lang w:val="en-US"/>
        </w:rPr>
        <w:t xml:space="preserve"> in direction </w:t>
      </w:r>
      <w:r w:rsidRPr="00245623">
        <w:rPr>
          <w:lang w:val="en-US"/>
        </w:rPr>
        <w:t xml:space="preserve">[-0.5, 1, 1] </w:t>
      </w:r>
      <w:r w:rsidRPr="00245623">
        <w:rPr>
          <w:color w:val="000000"/>
          <w:lang w:val="en-US"/>
        </w:rPr>
        <w:t xml:space="preserve">in one control mouse (left) and one CPZ mouse (right). </w:t>
      </w:r>
    </w:p>
    <w:p w14:paraId="4566A8DF" w14:textId="77777777" w:rsidR="007D21B9" w:rsidRPr="00245623" w:rsidRDefault="007D21B9" w:rsidP="007D21B9">
      <w:pPr>
        <w:spacing w:line="480" w:lineRule="auto"/>
        <w:jc w:val="both"/>
        <w:rPr>
          <w:color w:val="000000"/>
          <w:lang w:val="en-US"/>
        </w:rPr>
      </w:pPr>
      <w:proofErr w:type="spellStart"/>
      <w:r w:rsidRPr="00245623">
        <w:rPr>
          <w:lang w:val="en-US"/>
        </w:rPr>
        <w:t>mIns</w:t>
      </w:r>
      <w:proofErr w:type="spellEnd"/>
      <w:r w:rsidRPr="00245623">
        <w:rPr>
          <w:lang w:val="en-US"/>
        </w:rPr>
        <w:t xml:space="preserve">: </w:t>
      </w:r>
      <w:r w:rsidRPr="00245623">
        <w:rPr>
          <w:i/>
          <w:lang w:val="en-US"/>
        </w:rPr>
        <w:t>myo</w:t>
      </w:r>
      <w:r w:rsidRPr="00245623">
        <w:rPr>
          <w:lang w:val="en-US"/>
        </w:rPr>
        <w:t xml:space="preserve">-inositol; </w:t>
      </w:r>
      <w:proofErr w:type="spellStart"/>
      <w:r w:rsidRPr="00245623">
        <w:rPr>
          <w:lang w:val="en-US"/>
        </w:rPr>
        <w:t>tCho</w:t>
      </w:r>
      <w:proofErr w:type="spellEnd"/>
      <w:r w:rsidRPr="00245623">
        <w:rPr>
          <w:lang w:val="en-US"/>
        </w:rPr>
        <w:t xml:space="preserve">: choline compounds ; </w:t>
      </w:r>
      <w:proofErr w:type="spellStart"/>
      <w:r w:rsidRPr="00245623">
        <w:rPr>
          <w:lang w:val="en-US"/>
        </w:rPr>
        <w:t>tCr</w:t>
      </w:r>
      <w:proofErr w:type="spellEnd"/>
      <w:r w:rsidRPr="00245623">
        <w:rPr>
          <w:lang w:val="en-US"/>
        </w:rPr>
        <w:t xml:space="preserve"> : creatine + phosphocreatine ; </w:t>
      </w:r>
      <w:proofErr w:type="spellStart"/>
      <w:r w:rsidRPr="00245623">
        <w:rPr>
          <w:lang w:val="en-US"/>
        </w:rPr>
        <w:t>tNAA</w:t>
      </w:r>
      <w:proofErr w:type="spellEnd"/>
      <w:r w:rsidRPr="00245623">
        <w:rPr>
          <w:lang w:val="en-US"/>
        </w:rPr>
        <w:t xml:space="preserve">: </w:t>
      </w:r>
      <w:r w:rsidRPr="00245623">
        <w:rPr>
          <w:i/>
          <w:lang w:val="en-US"/>
        </w:rPr>
        <w:t>N</w:t>
      </w:r>
      <w:r w:rsidRPr="00245623">
        <w:rPr>
          <w:lang w:val="en-US"/>
        </w:rPr>
        <w:t>-</w:t>
      </w:r>
      <w:proofErr w:type="spellStart"/>
      <w:r w:rsidRPr="00245623">
        <w:rPr>
          <w:lang w:val="en-US"/>
        </w:rPr>
        <w:t>acetylaspartate</w:t>
      </w:r>
      <w:proofErr w:type="spellEnd"/>
      <w:r w:rsidRPr="00245623">
        <w:rPr>
          <w:lang w:val="en-US"/>
        </w:rPr>
        <w:t xml:space="preserve"> + </w:t>
      </w:r>
      <w:r w:rsidRPr="00245623">
        <w:rPr>
          <w:i/>
          <w:lang w:val="en-US"/>
        </w:rPr>
        <w:t>N</w:t>
      </w:r>
      <w:r w:rsidRPr="00245623">
        <w:rPr>
          <w:lang w:val="en-US"/>
        </w:rPr>
        <w:t>-</w:t>
      </w:r>
      <w:proofErr w:type="spellStart"/>
      <w:r w:rsidRPr="00245623">
        <w:rPr>
          <w:lang w:val="en-US"/>
        </w:rPr>
        <w:t>acetylaspartylglutamate</w:t>
      </w:r>
      <w:proofErr w:type="spellEnd"/>
      <w:r w:rsidRPr="00245623">
        <w:rPr>
          <w:lang w:val="en-US"/>
        </w:rPr>
        <w:t>.</w:t>
      </w:r>
    </w:p>
    <w:p w14:paraId="231BB033" w14:textId="20ECC94B" w:rsidR="00B209D4" w:rsidRPr="00245623" w:rsidRDefault="00B209D4" w:rsidP="00B209D4">
      <w:pPr>
        <w:rPr>
          <w:lang w:val="en-US"/>
        </w:rPr>
      </w:pPr>
    </w:p>
    <w:p w14:paraId="2E7BE0B7" w14:textId="77777777" w:rsidR="00B7108A" w:rsidRDefault="00B7108A" w:rsidP="00090BD7">
      <w:pPr>
        <w:spacing w:line="480" w:lineRule="auto"/>
        <w:jc w:val="both"/>
        <w:rPr>
          <w:b/>
          <w:lang w:val="en-US"/>
        </w:rPr>
      </w:pPr>
    </w:p>
    <w:p w14:paraId="05E1338D" w14:textId="77777777" w:rsidR="00B7108A" w:rsidRDefault="00B7108A" w:rsidP="00090BD7">
      <w:pPr>
        <w:spacing w:line="480" w:lineRule="auto"/>
        <w:jc w:val="both"/>
        <w:rPr>
          <w:b/>
          <w:lang w:val="en-US"/>
        </w:rPr>
      </w:pPr>
    </w:p>
    <w:p w14:paraId="6B7E1B62" w14:textId="77777777" w:rsidR="00B7108A" w:rsidRDefault="00B7108A" w:rsidP="00090BD7">
      <w:pPr>
        <w:spacing w:line="480" w:lineRule="auto"/>
        <w:jc w:val="both"/>
        <w:rPr>
          <w:b/>
          <w:lang w:val="en-US"/>
        </w:rPr>
      </w:pPr>
    </w:p>
    <w:p w14:paraId="33F5C44B" w14:textId="77777777" w:rsidR="00B7108A" w:rsidRDefault="00B7108A" w:rsidP="00090BD7">
      <w:pPr>
        <w:spacing w:line="480" w:lineRule="auto"/>
        <w:jc w:val="both"/>
        <w:rPr>
          <w:b/>
          <w:lang w:val="en-US"/>
        </w:rPr>
      </w:pPr>
    </w:p>
    <w:p w14:paraId="7D58DA05" w14:textId="77777777" w:rsidR="00B7108A" w:rsidRDefault="00B7108A" w:rsidP="00090BD7">
      <w:pPr>
        <w:spacing w:line="480" w:lineRule="auto"/>
        <w:jc w:val="both"/>
        <w:rPr>
          <w:b/>
          <w:lang w:val="en-US"/>
        </w:rPr>
      </w:pPr>
    </w:p>
    <w:p w14:paraId="1FA9A4F3" w14:textId="77777777" w:rsidR="00B7108A" w:rsidRDefault="00B7108A" w:rsidP="00090BD7">
      <w:pPr>
        <w:spacing w:line="480" w:lineRule="auto"/>
        <w:jc w:val="both"/>
        <w:rPr>
          <w:b/>
          <w:lang w:val="en-US"/>
        </w:rPr>
      </w:pPr>
    </w:p>
    <w:p w14:paraId="3FB706B4" w14:textId="77777777" w:rsidR="00B7108A" w:rsidRDefault="00B7108A" w:rsidP="00090BD7">
      <w:pPr>
        <w:spacing w:line="480" w:lineRule="auto"/>
        <w:jc w:val="both"/>
        <w:rPr>
          <w:b/>
          <w:lang w:val="en-US"/>
        </w:rPr>
      </w:pPr>
    </w:p>
    <w:p w14:paraId="021AE4F2" w14:textId="7AFD8288" w:rsidR="00B7108A" w:rsidRDefault="00B7108A" w:rsidP="00090BD7">
      <w:pPr>
        <w:spacing w:line="480" w:lineRule="auto"/>
        <w:jc w:val="both"/>
        <w:rPr>
          <w:b/>
          <w:lang w:val="en-US"/>
        </w:rPr>
      </w:pPr>
      <w:r>
        <w:rPr>
          <w:b/>
          <w:noProof/>
        </w:rPr>
        <w:drawing>
          <wp:anchor distT="0" distB="0" distL="114300" distR="114300" simplePos="0" relativeHeight="251663360" behindDoc="0" locked="0" layoutInCell="1" allowOverlap="1" wp14:anchorId="6A85886D" wp14:editId="6B0C498B">
            <wp:simplePos x="0" y="0"/>
            <wp:positionH relativeFrom="column">
              <wp:posOffset>582930</wp:posOffset>
            </wp:positionH>
            <wp:positionV relativeFrom="paragraph">
              <wp:posOffset>346710</wp:posOffset>
            </wp:positionV>
            <wp:extent cx="4709160" cy="3042285"/>
            <wp:effectExtent l="0" t="0" r="2540" b="5715"/>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_v2-01.tif"/>
                    <pic:cNvPicPr/>
                  </pic:nvPicPr>
                  <pic:blipFill>
                    <a:blip r:embed="rId11">
                      <a:extLst>
                        <a:ext uri="{28A0092B-C50C-407E-A947-70E740481C1C}">
                          <a14:useLocalDpi xmlns:a14="http://schemas.microsoft.com/office/drawing/2010/main" val="0"/>
                        </a:ext>
                      </a:extLst>
                    </a:blip>
                    <a:stretch>
                      <a:fillRect/>
                    </a:stretch>
                  </pic:blipFill>
                  <pic:spPr>
                    <a:xfrm>
                      <a:off x="0" y="0"/>
                      <a:ext cx="4709160" cy="3042285"/>
                    </a:xfrm>
                    <a:prstGeom prst="rect">
                      <a:avLst/>
                    </a:prstGeom>
                  </pic:spPr>
                </pic:pic>
              </a:graphicData>
            </a:graphic>
            <wp14:sizeRelH relativeFrom="page">
              <wp14:pctWidth>0</wp14:pctWidth>
            </wp14:sizeRelH>
            <wp14:sizeRelV relativeFrom="page">
              <wp14:pctHeight>0</wp14:pctHeight>
            </wp14:sizeRelV>
          </wp:anchor>
        </w:drawing>
      </w:r>
    </w:p>
    <w:p w14:paraId="6B8A8F48" w14:textId="77777777" w:rsidR="00B7108A" w:rsidRDefault="00B7108A" w:rsidP="00090BD7">
      <w:pPr>
        <w:spacing w:line="480" w:lineRule="auto"/>
        <w:jc w:val="both"/>
        <w:rPr>
          <w:b/>
          <w:lang w:val="en-US"/>
        </w:rPr>
      </w:pPr>
    </w:p>
    <w:p w14:paraId="23B2ED1C" w14:textId="017B2016" w:rsidR="00090BD7" w:rsidRPr="00245623" w:rsidRDefault="007D21B9" w:rsidP="00090BD7">
      <w:pPr>
        <w:spacing w:line="480" w:lineRule="auto"/>
        <w:jc w:val="both"/>
        <w:rPr>
          <w:iCs/>
          <w:szCs w:val="22"/>
          <w:lang w:val="en-US"/>
        </w:rPr>
      </w:pPr>
      <w:r w:rsidRPr="00245623">
        <w:rPr>
          <w:b/>
          <w:lang w:val="en-US"/>
        </w:rPr>
        <w:t xml:space="preserve">Figure 3: Metabolite signal attenuation. </w:t>
      </w:r>
      <w:r w:rsidR="0088546F" w:rsidRPr="00245623">
        <w:rPr>
          <w:color w:val="000000" w:themeColor="text1"/>
          <w:szCs w:val="22"/>
          <w:lang w:val="en-US"/>
        </w:rPr>
        <w:t>S</w:t>
      </w:r>
      <w:r w:rsidRPr="00245623">
        <w:rPr>
          <w:color w:val="000000" w:themeColor="text1"/>
          <w:szCs w:val="22"/>
          <w:lang w:val="en-US"/>
        </w:rPr>
        <w:t xml:space="preserve">ignal logarithm attenuation as a function of the </w:t>
      </w:r>
      <w:r w:rsidRPr="00245623">
        <w:rPr>
          <w:i/>
          <w:color w:val="000000" w:themeColor="text1"/>
          <w:szCs w:val="22"/>
          <w:lang w:val="en-US"/>
        </w:rPr>
        <w:t>b</w:t>
      </w:r>
      <w:r w:rsidRPr="00245623">
        <w:rPr>
          <w:color w:val="000000" w:themeColor="text1"/>
          <w:szCs w:val="22"/>
          <w:lang w:val="en-US"/>
        </w:rPr>
        <w:t xml:space="preserve">-value for </w:t>
      </w:r>
      <w:proofErr w:type="spellStart"/>
      <w:r w:rsidRPr="00245623">
        <w:rPr>
          <w:color w:val="000000" w:themeColor="text1"/>
          <w:szCs w:val="22"/>
          <w:lang w:val="en-US"/>
        </w:rPr>
        <w:t>mIns</w:t>
      </w:r>
      <w:proofErr w:type="spellEnd"/>
      <w:r w:rsidRPr="00245623">
        <w:rPr>
          <w:color w:val="000000" w:themeColor="text1"/>
          <w:szCs w:val="22"/>
          <w:lang w:val="en-US"/>
        </w:rPr>
        <w:t xml:space="preserve">, </w:t>
      </w:r>
      <w:proofErr w:type="spellStart"/>
      <w:r w:rsidRPr="00245623">
        <w:rPr>
          <w:color w:val="000000" w:themeColor="text1"/>
          <w:szCs w:val="22"/>
          <w:lang w:val="en-US"/>
        </w:rPr>
        <w:t>tCho</w:t>
      </w:r>
      <w:proofErr w:type="spellEnd"/>
      <w:r w:rsidRPr="00245623">
        <w:rPr>
          <w:color w:val="000000" w:themeColor="text1"/>
          <w:szCs w:val="22"/>
          <w:lang w:val="en-US"/>
        </w:rPr>
        <w:t xml:space="preserve">, </w:t>
      </w:r>
      <w:proofErr w:type="spellStart"/>
      <w:r w:rsidRPr="00245623">
        <w:rPr>
          <w:color w:val="000000" w:themeColor="text1"/>
          <w:szCs w:val="22"/>
          <w:lang w:val="en-US"/>
        </w:rPr>
        <w:t>tCr</w:t>
      </w:r>
      <w:proofErr w:type="spellEnd"/>
      <w:r w:rsidRPr="00245623">
        <w:rPr>
          <w:color w:val="000000" w:themeColor="text1"/>
          <w:szCs w:val="22"/>
          <w:lang w:val="en-US"/>
        </w:rPr>
        <w:t xml:space="preserve"> and </w:t>
      </w:r>
      <w:proofErr w:type="spellStart"/>
      <w:r w:rsidRPr="00245623">
        <w:rPr>
          <w:color w:val="000000" w:themeColor="text1"/>
          <w:szCs w:val="22"/>
          <w:lang w:val="en-US"/>
        </w:rPr>
        <w:t>tNAA</w:t>
      </w:r>
      <w:proofErr w:type="spellEnd"/>
      <w:r w:rsidR="0088546F" w:rsidRPr="00245623">
        <w:rPr>
          <w:color w:val="000000" w:themeColor="text1"/>
          <w:szCs w:val="22"/>
          <w:lang w:val="en-US"/>
        </w:rPr>
        <w:t>, averaged across</w:t>
      </w:r>
      <w:r w:rsidRPr="00245623">
        <w:rPr>
          <w:color w:val="000000" w:themeColor="text1"/>
          <w:szCs w:val="22"/>
          <w:lang w:val="en-US"/>
        </w:rPr>
        <w:t xml:space="preserve"> control</w:t>
      </w:r>
      <w:r w:rsidRPr="00245623">
        <w:rPr>
          <w:color w:val="000000" w:themeColor="text1"/>
          <w:szCs w:val="22"/>
          <w:vertAlign w:val="subscript"/>
          <w:lang w:val="en-US"/>
        </w:rPr>
        <w:t xml:space="preserve"> </w:t>
      </w:r>
      <w:r w:rsidRPr="00245623">
        <w:rPr>
          <w:color w:val="000000" w:themeColor="text1"/>
          <w:szCs w:val="22"/>
          <w:lang w:val="en-US"/>
        </w:rPr>
        <w:t xml:space="preserve">(blue circles) and CPZ (red dots) mice. Data points and error bars stand for mean and standard error of the mean for each mouse group (n = 8 mice per group for </w:t>
      </w:r>
      <w:proofErr w:type="spellStart"/>
      <w:r w:rsidRPr="00245623">
        <w:rPr>
          <w:color w:val="000000" w:themeColor="text1"/>
          <w:szCs w:val="22"/>
          <w:lang w:val="en-US"/>
        </w:rPr>
        <w:t>mIns</w:t>
      </w:r>
      <w:proofErr w:type="spellEnd"/>
      <w:r w:rsidRPr="00245623">
        <w:rPr>
          <w:color w:val="000000" w:themeColor="text1"/>
          <w:szCs w:val="22"/>
          <w:lang w:val="en-US"/>
        </w:rPr>
        <w:t xml:space="preserve"> and </w:t>
      </w:r>
      <w:proofErr w:type="spellStart"/>
      <w:r w:rsidRPr="00245623">
        <w:rPr>
          <w:color w:val="000000" w:themeColor="text1"/>
          <w:szCs w:val="22"/>
          <w:lang w:val="en-US"/>
        </w:rPr>
        <w:t>tCho</w:t>
      </w:r>
      <w:proofErr w:type="spellEnd"/>
      <w:r w:rsidRPr="00245623">
        <w:rPr>
          <w:color w:val="000000" w:themeColor="text1"/>
          <w:szCs w:val="22"/>
          <w:lang w:val="en-US"/>
        </w:rPr>
        <w:t xml:space="preserve">; n = 8 CPZ and 10 control mice for </w:t>
      </w:r>
      <w:proofErr w:type="spellStart"/>
      <w:r w:rsidRPr="00245623">
        <w:rPr>
          <w:color w:val="000000" w:themeColor="text1"/>
          <w:szCs w:val="22"/>
          <w:lang w:val="en-US"/>
        </w:rPr>
        <w:t>tCr</w:t>
      </w:r>
      <w:proofErr w:type="spellEnd"/>
      <w:r w:rsidRPr="00245623">
        <w:rPr>
          <w:color w:val="000000" w:themeColor="text1"/>
          <w:szCs w:val="22"/>
          <w:lang w:val="en-US"/>
        </w:rPr>
        <w:t xml:space="preserve"> and </w:t>
      </w:r>
      <w:proofErr w:type="spellStart"/>
      <w:r w:rsidRPr="00245623">
        <w:rPr>
          <w:color w:val="000000" w:themeColor="text1"/>
          <w:szCs w:val="22"/>
          <w:lang w:val="en-US"/>
        </w:rPr>
        <w:t>tNAA</w:t>
      </w:r>
      <w:proofErr w:type="spellEnd"/>
      <w:r w:rsidRPr="00245623">
        <w:rPr>
          <w:color w:val="000000" w:themeColor="text1"/>
          <w:szCs w:val="22"/>
          <w:lang w:val="en-US"/>
        </w:rPr>
        <w:t xml:space="preserve">). </w:t>
      </w:r>
      <w:r w:rsidR="008E5D6D" w:rsidRPr="00245623">
        <w:rPr>
          <w:iCs/>
          <w:szCs w:val="22"/>
          <w:lang w:val="en-US"/>
        </w:rPr>
        <w:t xml:space="preserve">Asterisks indicate significant differences in the signal amplitude at a given </w:t>
      </w:r>
      <w:r w:rsidR="008E5D6D" w:rsidRPr="00245623">
        <w:rPr>
          <w:i/>
          <w:iCs/>
          <w:szCs w:val="22"/>
          <w:lang w:val="en-US"/>
        </w:rPr>
        <w:t>b</w:t>
      </w:r>
      <w:r w:rsidR="008E5D6D" w:rsidRPr="00245623">
        <w:rPr>
          <w:iCs/>
          <w:szCs w:val="22"/>
          <w:lang w:val="en-US"/>
        </w:rPr>
        <w:t>-value between control</w:t>
      </w:r>
      <w:r w:rsidR="008E5D6D" w:rsidRPr="00245623">
        <w:rPr>
          <w:iCs/>
          <w:szCs w:val="22"/>
          <w:vertAlign w:val="subscript"/>
          <w:lang w:val="en-US"/>
        </w:rPr>
        <w:t xml:space="preserve"> </w:t>
      </w:r>
      <w:r w:rsidR="008E5D6D" w:rsidRPr="00245623">
        <w:rPr>
          <w:iCs/>
          <w:szCs w:val="22"/>
          <w:lang w:val="en-US"/>
        </w:rPr>
        <w:t xml:space="preserve">and CPZ mice (*p &lt; 0.05, **p &lt; 0.005). </w:t>
      </w:r>
      <w:r w:rsidRPr="00245623">
        <w:rPr>
          <w:color w:val="000000" w:themeColor="text1"/>
          <w:szCs w:val="22"/>
          <w:lang w:val="en-US"/>
        </w:rPr>
        <w:t xml:space="preserve">Only </w:t>
      </w:r>
      <w:proofErr w:type="spellStart"/>
      <w:r w:rsidRPr="00245623">
        <w:rPr>
          <w:color w:val="000000" w:themeColor="text1"/>
          <w:szCs w:val="22"/>
          <w:lang w:val="en-US"/>
        </w:rPr>
        <w:t>mIns</w:t>
      </w:r>
      <w:proofErr w:type="spellEnd"/>
      <w:r w:rsidRPr="00245623">
        <w:rPr>
          <w:color w:val="000000" w:themeColor="text1"/>
          <w:szCs w:val="22"/>
          <w:lang w:val="en-US"/>
        </w:rPr>
        <w:t xml:space="preserve"> and </w:t>
      </w:r>
      <w:proofErr w:type="spellStart"/>
      <w:r w:rsidRPr="00245623">
        <w:rPr>
          <w:color w:val="000000" w:themeColor="text1"/>
          <w:szCs w:val="22"/>
          <w:lang w:val="en-US"/>
        </w:rPr>
        <w:t>tCho</w:t>
      </w:r>
      <w:proofErr w:type="spellEnd"/>
      <w:r w:rsidRPr="00245623">
        <w:rPr>
          <w:color w:val="000000" w:themeColor="text1"/>
          <w:szCs w:val="22"/>
          <w:lang w:val="en-US"/>
        </w:rPr>
        <w:t xml:space="preserve"> exhibit different diffusion behavior between the two mouse groups.</w:t>
      </w:r>
      <w:r w:rsidR="00090BD7" w:rsidRPr="00245623">
        <w:rPr>
          <w:color w:val="000000" w:themeColor="text1"/>
          <w:szCs w:val="22"/>
          <w:lang w:val="en-US"/>
        </w:rPr>
        <w:t xml:space="preserve"> </w:t>
      </w:r>
      <w:proofErr w:type="spellStart"/>
      <w:r w:rsidR="00090BD7" w:rsidRPr="00245623">
        <w:rPr>
          <w:lang w:val="en-US"/>
        </w:rPr>
        <w:t>mIns</w:t>
      </w:r>
      <w:proofErr w:type="spellEnd"/>
      <w:r w:rsidR="00090BD7" w:rsidRPr="00245623">
        <w:rPr>
          <w:lang w:val="en-US"/>
        </w:rPr>
        <w:t xml:space="preserve">: </w:t>
      </w:r>
      <w:r w:rsidR="00090BD7" w:rsidRPr="00245623">
        <w:rPr>
          <w:i/>
          <w:lang w:val="en-US"/>
        </w:rPr>
        <w:t>myo</w:t>
      </w:r>
      <w:r w:rsidR="00090BD7" w:rsidRPr="00245623">
        <w:rPr>
          <w:lang w:val="en-US"/>
        </w:rPr>
        <w:t xml:space="preserve">-inositol; </w:t>
      </w:r>
      <w:proofErr w:type="spellStart"/>
      <w:r w:rsidR="00090BD7" w:rsidRPr="00245623">
        <w:rPr>
          <w:lang w:val="en-US"/>
        </w:rPr>
        <w:t>tCho</w:t>
      </w:r>
      <w:proofErr w:type="spellEnd"/>
      <w:r w:rsidR="00090BD7" w:rsidRPr="00245623">
        <w:rPr>
          <w:lang w:val="en-US"/>
        </w:rPr>
        <w:t xml:space="preserve">: choline compounds ; </w:t>
      </w:r>
      <w:proofErr w:type="spellStart"/>
      <w:r w:rsidR="00090BD7" w:rsidRPr="00245623">
        <w:rPr>
          <w:lang w:val="en-US"/>
        </w:rPr>
        <w:t>tCr</w:t>
      </w:r>
      <w:proofErr w:type="spellEnd"/>
      <w:r w:rsidR="00090BD7" w:rsidRPr="00245623">
        <w:rPr>
          <w:lang w:val="en-US"/>
        </w:rPr>
        <w:t xml:space="preserve"> : creatine + phosphocreatine ; </w:t>
      </w:r>
      <w:proofErr w:type="spellStart"/>
      <w:r w:rsidR="00090BD7" w:rsidRPr="00245623">
        <w:rPr>
          <w:lang w:val="en-US"/>
        </w:rPr>
        <w:t>tNAA</w:t>
      </w:r>
      <w:proofErr w:type="spellEnd"/>
      <w:r w:rsidR="00090BD7" w:rsidRPr="00245623">
        <w:rPr>
          <w:lang w:val="en-US"/>
        </w:rPr>
        <w:t xml:space="preserve">: </w:t>
      </w:r>
      <w:r w:rsidR="00090BD7" w:rsidRPr="00245623">
        <w:rPr>
          <w:i/>
          <w:lang w:val="en-US"/>
        </w:rPr>
        <w:t>N</w:t>
      </w:r>
      <w:r w:rsidR="00090BD7" w:rsidRPr="00245623">
        <w:rPr>
          <w:lang w:val="en-US"/>
        </w:rPr>
        <w:t>-</w:t>
      </w:r>
      <w:proofErr w:type="spellStart"/>
      <w:r w:rsidR="00090BD7" w:rsidRPr="00245623">
        <w:rPr>
          <w:lang w:val="en-US"/>
        </w:rPr>
        <w:t>acetylaspartate</w:t>
      </w:r>
      <w:proofErr w:type="spellEnd"/>
      <w:r w:rsidR="00090BD7" w:rsidRPr="00245623">
        <w:rPr>
          <w:lang w:val="en-US"/>
        </w:rPr>
        <w:t xml:space="preserve"> + </w:t>
      </w:r>
      <w:r w:rsidR="00090BD7" w:rsidRPr="00245623">
        <w:rPr>
          <w:i/>
          <w:lang w:val="en-US"/>
        </w:rPr>
        <w:t>N</w:t>
      </w:r>
      <w:r w:rsidR="00090BD7" w:rsidRPr="00245623">
        <w:rPr>
          <w:lang w:val="en-US"/>
        </w:rPr>
        <w:t>-</w:t>
      </w:r>
      <w:proofErr w:type="spellStart"/>
      <w:r w:rsidR="00090BD7" w:rsidRPr="00245623">
        <w:rPr>
          <w:lang w:val="en-US"/>
        </w:rPr>
        <w:t>acetylaspartylglutamate</w:t>
      </w:r>
      <w:proofErr w:type="spellEnd"/>
      <w:r w:rsidR="00090BD7" w:rsidRPr="00245623">
        <w:rPr>
          <w:lang w:val="en-US"/>
        </w:rPr>
        <w:t>.</w:t>
      </w:r>
    </w:p>
    <w:p w14:paraId="7E9E5EC0" w14:textId="516E53DA" w:rsidR="00D01202" w:rsidRDefault="00D01202" w:rsidP="007D21B9">
      <w:pPr>
        <w:spacing w:line="480" w:lineRule="auto"/>
        <w:jc w:val="both"/>
        <w:rPr>
          <w:b/>
          <w:bCs/>
          <w:sz w:val="28"/>
          <w:szCs w:val="26"/>
          <w:lang w:val="en-US"/>
        </w:rPr>
      </w:pPr>
    </w:p>
    <w:p w14:paraId="1093C3DD" w14:textId="0FCDBDD2" w:rsidR="00B7108A" w:rsidRDefault="00B7108A" w:rsidP="007D21B9">
      <w:pPr>
        <w:spacing w:line="480" w:lineRule="auto"/>
        <w:jc w:val="both"/>
        <w:rPr>
          <w:b/>
          <w:bCs/>
          <w:sz w:val="28"/>
          <w:szCs w:val="26"/>
          <w:lang w:val="en-US"/>
        </w:rPr>
      </w:pPr>
    </w:p>
    <w:p w14:paraId="62F7CE2B" w14:textId="57AD4041" w:rsidR="00B7108A" w:rsidRDefault="00B7108A" w:rsidP="007D21B9">
      <w:pPr>
        <w:spacing w:line="480" w:lineRule="auto"/>
        <w:jc w:val="both"/>
        <w:rPr>
          <w:b/>
          <w:bCs/>
          <w:sz w:val="28"/>
          <w:szCs w:val="26"/>
          <w:lang w:val="en-US"/>
        </w:rPr>
      </w:pPr>
    </w:p>
    <w:p w14:paraId="2C86E863" w14:textId="4E8DF196" w:rsidR="00B7108A" w:rsidRDefault="00B7108A" w:rsidP="007D21B9">
      <w:pPr>
        <w:spacing w:line="480" w:lineRule="auto"/>
        <w:jc w:val="both"/>
        <w:rPr>
          <w:b/>
          <w:bCs/>
          <w:sz w:val="28"/>
          <w:szCs w:val="26"/>
          <w:lang w:val="en-US"/>
        </w:rPr>
      </w:pPr>
    </w:p>
    <w:p w14:paraId="3679D63E" w14:textId="7B1CDEB0" w:rsidR="00B7108A" w:rsidRDefault="00B7108A" w:rsidP="007D21B9">
      <w:pPr>
        <w:spacing w:line="480" w:lineRule="auto"/>
        <w:jc w:val="both"/>
        <w:rPr>
          <w:b/>
          <w:bCs/>
          <w:sz w:val="28"/>
          <w:szCs w:val="26"/>
          <w:lang w:val="en-US"/>
        </w:rPr>
      </w:pPr>
    </w:p>
    <w:p w14:paraId="1D9801CC" w14:textId="6B89AC53" w:rsidR="00B7108A" w:rsidRDefault="00B7108A" w:rsidP="007D21B9">
      <w:pPr>
        <w:spacing w:line="480" w:lineRule="auto"/>
        <w:jc w:val="both"/>
        <w:rPr>
          <w:b/>
          <w:bCs/>
          <w:sz w:val="28"/>
          <w:szCs w:val="26"/>
          <w:lang w:val="en-US"/>
        </w:rPr>
      </w:pPr>
    </w:p>
    <w:p w14:paraId="1BA4D55B" w14:textId="7FEB183C" w:rsidR="00B7108A" w:rsidRDefault="00364462" w:rsidP="007D21B9">
      <w:pPr>
        <w:spacing w:line="480" w:lineRule="auto"/>
        <w:jc w:val="both"/>
        <w:rPr>
          <w:b/>
          <w:bCs/>
          <w:sz w:val="28"/>
          <w:szCs w:val="26"/>
          <w:lang w:val="en-US"/>
        </w:rPr>
      </w:pPr>
      <w:r>
        <w:rPr>
          <w:b/>
          <w:noProof/>
        </w:rPr>
        <w:lastRenderedPageBreak/>
        <w:drawing>
          <wp:anchor distT="0" distB="0" distL="114300" distR="114300" simplePos="0" relativeHeight="251665408" behindDoc="0" locked="0" layoutInCell="1" allowOverlap="1" wp14:anchorId="3F4DEEB5" wp14:editId="26A44C3B">
            <wp:simplePos x="0" y="0"/>
            <wp:positionH relativeFrom="column">
              <wp:posOffset>34290</wp:posOffset>
            </wp:positionH>
            <wp:positionV relativeFrom="paragraph">
              <wp:posOffset>125730</wp:posOffset>
            </wp:positionV>
            <wp:extent cx="5756910" cy="1662430"/>
            <wp:effectExtent l="0" t="0" r="0" b="127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_v2-01.tif"/>
                    <pic:cNvPicPr/>
                  </pic:nvPicPr>
                  <pic:blipFill>
                    <a:blip r:embed="rId12">
                      <a:extLst>
                        <a:ext uri="{28A0092B-C50C-407E-A947-70E740481C1C}">
                          <a14:useLocalDpi xmlns:a14="http://schemas.microsoft.com/office/drawing/2010/main" val="0"/>
                        </a:ext>
                      </a:extLst>
                    </a:blip>
                    <a:stretch>
                      <a:fillRect/>
                    </a:stretch>
                  </pic:blipFill>
                  <pic:spPr>
                    <a:xfrm>
                      <a:off x="0" y="0"/>
                      <a:ext cx="5756910" cy="1662430"/>
                    </a:xfrm>
                    <a:prstGeom prst="rect">
                      <a:avLst/>
                    </a:prstGeom>
                  </pic:spPr>
                </pic:pic>
              </a:graphicData>
            </a:graphic>
            <wp14:sizeRelH relativeFrom="page">
              <wp14:pctWidth>0</wp14:pctWidth>
            </wp14:sizeRelH>
            <wp14:sizeRelV relativeFrom="page">
              <wp14:pctHeight>0</wp14:pctHeight>
            </wp14:sizeRelV>
          </wp:anchor>
        </w:drawing>
      </w:r>
    </w:p>
    <w:p w14:paraId="146868E5" w14:textId="7F97F394" w:rsidR="007D21B9" w:rsidRPr="00245623" w:rsidRDefault="007D21B9" w:rsidP="007D21B9">
      <w:pPr>
        <w:spacing w:line="480" w:lineRule="auto"/>
        <w:jc w:val="both"/>
        <w:rPr>
          <w:iCs/>
          <w:szCs w:val="22"/>
          <w:lang w:val="en-US"/>
        </w:rPr>
      </w:pPr>
      <w:r w:rsidRPr="00245623">
        <w:rPr>
          <w:b/>
          <w:lang w:val="en-US"/>
        </w:rPr>
        <w:t xml:space="preserve">Figure 4: Metabolite ADCs and concentrations in control and CPZ mice. </w:t>
      </w:r>
      <w:r w:rsidRPr="00245623">
        <w:rPr>
          <w:iCs/>
          <w:color w:val="000000"/>
          <w:szCs w:val="22"/>
          <w:lang w:val="en-US"/>
        </w:rPr>
        <w:t xml:space="preserve">Box plots of metabolite </w:t>
      </w:r>
      <w:r w:rsidRPr="00245623">
        <w:rPr>
          <w:color w:val="000000"/>
          <w:szCs w:val="22"/>
          <w:lang w:val="en-US"/>
        </w:rPr>
        <w:t>ADC</w:t>
      </w:r>
      <w:r w:rsidRPr="00245623">
        <w:rPr>
          <w:iCs/>
          <w:color w:val="000000"/>
          <w:szCs w:val="22"/>
          <w:lang w:val="en-US"/>
        </w:rPr>
        <w:t xml:space="preserve">s (A) and concentrations relative to </w:t>
      </w:r>
      <w:proofErr w:type="spellStart"/>
      <w:r w:rsidRPr="00245623">
        <w:rPr>
          <w:iCs/>
          <w:color w:val="000000"/>
          <w:szCs w:val="22"/>
          <w:lang w:val="en-US"/>
        </w:rPr>
        <w:t>tCr</w:t>
      </w:r>
      <w:proofErr w:type="spellEnd"/>
      <w:r w:rsidRPr="00245623">
        <w:rPr>
          <w:iCs/>
          <w:color w:val="000000"/>
          <w:szCs w:val="22"/>
          <w:lang w:val="en-US"/>
        </w:rPr>
        <w:t xml:space="preserve"> (B) measured in control</w:t>
      </w:r>
      <w:r w:rsidRPr="00245623">
        <w:rPr>
          <w:iCs/>
          <w:color w:val="000000"/>
          <w:szCs w:val="22"/>
          <w:vertAlign w:val="subscript"/>
          <w:lang w:val="en-US"/>
        </w:rPr>
        <w:t xml:space="preserve"> </w:t>
      </w:r>
      <w:r w:rsidRPr="00245623">
        <w:rPr>
          <w:iCs/>
          <w:color w:val="000000"/>
          <w:szCs w:val="22"/>
          <w:lang w:val="en-US"/>
        </w:rPr>
        <w:t>(blue</w:t>
      </w:r>
      <w:r w:rsidR="00AC7519" w:rsidRPr="00245623">
        <w:rPr>
          <w:iCs/>
          <w:color w:val="000000"/>
          <w:szCs w:val="22"/>
          <w:lang w:val="en-US"/>
        </w:rPr>
        <w:t xml:space="preserve"> boxes</w:t>
      </w:r>
      <w:r w:rsidRPr="00245623">
        <w:rPr>
          <w:iCs/>
          <w:color w:val="000000"/>
          <w:szCs w:val="22"/>
          <w:lang w:val="en-US"/>
        </w:rPr>
        <w:t>) and CPZ mice</w:t>
      </w:r>
      <w:r w:rsidR="00FC7CFF" w:rsidRPr="00245623">
        <w:rPr>
          <w:iCs/>
          <w:color w:val="000000"/>
          <w:szCs w:val="22"/>
          <w:lang w:val="en-US"/>
        </w:rPr>
        <w:t xml:space="preserve"> (red boxes)</w:t>
      </w:r>
      <w:r w:rsidRPr="00245623">
        <w:rPr>
          <w:iCs/>
          <w:color w:val="000000"/>
          <w:szCs w:val="22"/>
          <w:lang w:val="en-US"/>
        </w:rPr>
        <w:t xml:space="preserve">. For each box the central mark indicates the median </w:t>
      </w:r>
      <w:r w:rsidRPr="00245623">
        <w:rPr>
          <w:color w:val="000000"/>
          <w:szCs w:val="22"/>
          <w:lang w:val="en-US"/>
        </w:rPr>
        <w:t>ADC</w:t>
      </w:r>
      <w:r w:rsidRPr="00245623">
        <w:rPr>
          <w:iCs/>
          <w:color w:val="000000"/>
          <w:szCs w:val="22"/>
          <w:lang w:val="en-US"/>
        </w:rPr>
        <w:t xml:space="preserve"> and the bottom and top edges indicate the 25th and 75th percentiles, respectively. </w:t>
      </w:r>
      <w:r w:rsidR="00AC7519" w:rsidRPr="00245623">
        <w:rPr>
          <w:iCs/>
          <w:color w:val="000000"/>
          <w:szCs w:val="22"/>
          <w:lang w:val="en-US"/>
        </w:rPr>
        <w:t xml:space="preserve">Circles represent </w:t>
      </w:r>
      <w:r w:rsidR="00261200" w:rsidRPr="00245623">
        <w:rPr>
          <w:iCs/>
          <w:color w:val="000000"/>
          <w:szCs w:val="22"/>
          <w:lang w:val="en-US"/>
        </w:rPr>
        <w:t xml:space="preserve">values from </w:t>
      </w:r>
      <w:r w:rsidR="00AC7519" w:rsidRPr="00245623">
        <w:rPr>
          <w:iCs/>
          <w:color w:val="000000"/>
          <w:szCs w:val="22"/>
          <w:lang w:val="en-US"/>
        </w:rPr>
        <w:t>individual</w:t>
      </w:r>
      <w:r w:rsidR="00261200" w:rsidRPr="00245623">
        <w:rPr>
          <w:iCs/>
          <w:color w:val="000000"/>
          <w:szCs w:val="22"/>
          <w:lang w:val="en-US"/>
        </w:rPr>
        <w:t xml:space="preserve"> mice. </w:t>
      </w:r>
      <w:r w:rsidRPr="00245623">
        <w:rPr>
          <w:iCs/>
          <w:szCs w:val="22"/>
          <w:lang w:val="en-US"/>
        </w:rPr>
        <w:t>Asterisks indicate significant difference</w:t>
      </w:r>
      <w:r w:rsidR="008E5D6D" w:rsidRPr="00245623">
        <w:rPr>
          <w:iCs/>
          <w:szCs w:val="22"/>
          <w:lang w:val="en-US"/>
        </w:rPr>
        <w:t>s</w:t>
      </w:r>
      <w:r w:rsidRPr="00245623">
        <w:rPr>
          <w:iCs/>
          <w:szCs w:val="22"/>
          <w:lang w:val="en-US"/>
        </w:rPr>
        <w:t xml:space="preserve"> between control</w:t>
      </w:r>
      <w:r w:rsidRPr="00245623">
        <w:rPr>
          <w:iCs/>
          <w:szCs w:val="22"/>
          <w:vertAlign w:val="subscript"/>
          <w:lang w:val="en-US"/>
        </w:rPr>
        <w:t xml:space="preserve"> </w:t>
      </w:r>
      <w:r w:rsidRPr="00245623">
        <w:rPr>
          <w:iCs/>
          <w:szCs w:val="22"/>
          <w:lang w:val="en-US"/>
        </w:rPr>
        <w:t>and CPZ mice (*p &lt; 0.05, **p &lt; 0.005).</w:t>
      </w:r>
    </w:p>
    <w:p w14:paraId="03A6A873" w14:textId="06A751C6" w:rsidR="00FC7CFF" w:rsidRPr="00245623" w:rsidRDefault="00FC7CFF" w:rsidP="00FC7CFF">
      <w:pPr>
        <w:spacing w:line="480" w:lineRule="auto"/>
        <w:jc w:val="both"/>
        <w:rPr>
          <w:iCs/>
          <w:szCs w:val="22"/>
          <w:lang w:val="en-US"/>
        </w:rPr>
      </w:pPr>
      <w:proofErr w:type="spellStart"/>
      <w:r w:rsidRPr="00245623">
        <w:rPr>
          <w:lang w:val="en-US"/>
        </w:rPr>
        <w:t>Glu</w:t>
      </w:r>
      <w:proofErr w:type="spellEnd"/>
      <w:r w:rsidRPr="00245623">
        <w:rPr>
          <w:lang w:val="en-US"/>
        </w:rPr>
        <w:t xml:space="preserve">: glutamate; </w:t>
      </w:r>
      <w:proofErr w:type="spellStart"/>
      <w:r w:rsidR="007D21B9" w:rsidRPr="00245623">
        <w:rPr>
          <w:lang w:val="en-US"/>
        </w:rPr>
        <w:t>mIns</w:t>
      </w:r>
      <w:proofErr w:type="spellEnd"/>
      <w:r w:rsidR="007D21B9" w:rsidRPr="00245623">
        <w:rPr>
          <w:lang w:val="en-US"/>
        </w:rPr>
        <w:t xml:space="preserve">: </w:t>
      </w:r>
      <w:r w:rsidR="007D21B9" w:rsidRPr="00245623">
        <w:rPr>
          <w:i/>
          <w:lang w:val="en-US"/>
        </w:rPr>
        <w:t>myo</w:t>
      </w:r>
      <w:r w:rsidR="007D21B9" w:rsidRPr="00245623">
        <w:rPr>
          <w:lang w:val="en-US"/>
        </w:rPr>
        <w:t xml:space="preserve">-inositol; </w:t>
      </w:r>
      <w:r w:rsidRPr="00245623">
        <w:rPr>
          <w:lang w:val="en-US"/>
        </w:rPr>
        <w:t xml:space="preserve">Tau: taurine; </w:t>
      </w:r>
      <w:proofErr w:type="spellStart"/>
      <w:r w:rsidR="007D21B9" w:rsidRPr="00245623">
        <w:rPr>
          <w:lang w:val="en-US"/>
        </w:rPr>
        <w:t>tCho</w:t>
      </w:r>
      <w:proofErr w:type="spellEnd"/>
      <w:r w:rsidR="007D21B9" w:rsidRPr="00245623">
        <w:rPr>
          <w:lang w:val="en-US"/>
        </w:rPr>
        <w:t xml:space="preserve">: choline compounds ; </w:t>
      </w:r>
      <w:proofErr w:type="spellStart"/>
      <w:r w:rsidR="007D21B9" w:rsidRPr="00245623">
        <w:rPr>
          <w:lang w:val="en-US"/>
        </w:rPr>
        <w:t>tCr</w:t>
      </w:r>
      <w:proofErr w:type="spellEnd"/>
      <w:r w:rsidR="007D21B9" w:rsidRPr="00245623">
        <w:rPr>
          <w:lang w:val="en-US"/>
        </w:rPr>
        <w:t xml:space="preserve"> : creatine + phosphocreatine ; </w:t>
      </w:r>
      <w:proofErr w:type="spellStart"/>
      <w:r w:rsidR="007D21B9" w:rsidRPr="00245623">
        <w:rPr>
          <w:lang w:val="en-US"/>
        </w:rPr>
        <w:t>tNAA</w:t>
      </w:r>
      <w:proofErr w:type="spellEnd"/>
      <w:r w:rsidR="007D21B9" w:rsidRPr="00245623">
        <w:rPr>
          <w:lang w:val="en-US"/>
        </w:rPr>
        <w:t xml:space="preserve">: </w:t>
      </w:r>
      <w:r w:rsidR="007D21B9" w:rsidRPr="00245623">
        <w:rPr>
          <w:i/>
          <w:lang w:val="en-US"/>
        </w:rPr>
        <w:t>N</w:t>
      </w:r>
      <w:r w:rsidR="007D21B9" w:rsidRPr="00245623">
        <w:rPr>
          <w:lang w:val="en-US"/>
        </w:rPr>
        <w:t>-</w:t>
      </w:r>
      <w:proofErr w:type="spellStart"/>
      <w:r w:rsidR="007D21B9" w:rsidRPr="00245623">
        <w:rPr>
          <w:lang w:val="en-US"/>
        </w:rPr>
        <w:t>acetylaspartate</w:t>
      </w:r>
      <w:proofErr w:type="spellEnd"/>
      <w:r w:rsidR="007D21B9" w:rsidRPr="00245623">
        <w:rPr>
          <w:lang w:val="en-US"/>
        </w:rPr>
        <w:t xml:space="preserve"> + </w:t>
      </w:r>
      <w:r w:rsidR="007D21B9" w:rsidRPr="00245623">
        <w:rPr>
          <w:i/>
          <w:lang w:val="en-US"/>
        </w:rPr>
        <w:t>N</w:t>
      </w:r>
      <w:r w:rsidR="007D21B9" w:rsidRPr="00245623">
        <w:rPr>
          <w:lang w:val="en-US"/>
        </w:rPr>
        <w:t>-</w:t>
      </w:r>
      <w:proofErr w:type="spellStart"/>
      <w:r w:rsidR="007D21B9" w:rsidRPr="00245623">
        <w:rPr>
          <w:lang w:val="en-US"/>
        </w:rPr>
        <w:t>acetylaspartylglutamate</w:t>
      </w:r>
      <w:proofErr w:type="spellEnd"/>
      <w:r w:rsidRPr="00245623">
        <w:rPr>
          <w:lang w:val="en-US"/>
        </w:rPr>
        <w:t>.</w:t>
      </w:r>
    </w:p>
    <w:p w14:paraId="7F0B9917" w14:textId="7F0E62B1" w:rsidR="0088009D" w:rsidRDefault="0088009D" w:rsidP="00FE2896">
      <w:pPr>
        <w:spacing w:line="480" w:lineRule="auto"/>
        <w:jc w:val="both"/>
        <w:rPr>
          <w:b/>
          <w:lang w:val="en-US"/>
        </w:rPr>
      </w:pPr>
    </w:p>
    <w:p w14:paraId="65ED199C" w14:textId="065A398B" w:rsidR="00364462" w:rsidRDefault="00364462" w:rsidP="00FE2896">
      <w:pPr>
        <w:spacing w:line="480" w:lineRule="auto"/>
        <w:jc w:val="both"/>
        <w:rPr>
          <w:b/>
          <w:lang w:val="en-US"/>
        </w:rPr>
      </w:pPr>
    </w:p>
    <w:p w14:paraId="4E5E4237" w14:textId="111F2514" w:rsidR="00364462" w:rsidRDefault="00364462" w:rsidP="00FE2896">
      <w:pPr>
        <w:spacing w:line="480" w:lineRule="auto"/>
        <w:jc w:val="both"/>
        <w:rPr>
          <w:b/>
          <w:lang w:val="en-US"/>
        </w:rPr>
      </w:pPr>
    </w:p>
    <w:p w14:paraId="72DE35B9" w14:textId="77777777" w:rsidR="00364462" w:rsidRDefault="00364462" w:rsidP="00FE2896">
      <w:pPr>
        <w:spacing w:line="480" w:lineRule="auto"/>
        <w:jc w:val="both"/>
        <w:rPr>
          <w:b/>
          <w:lang w:val="en-US"/>
        </w:rPr>
      </w:pPr>
    </w:p>
    <w:p w14:paraId="194ACA1B" w14:textId="790DACA1" w:rsidR="00364462" w:rsidRDefault="00364462" w:rsidP="00FE2896">
      <w:pPr>
        <w:spacing w:line="480" w:lineRule="auto"/>
        <w:jc w:val="both"/>
        <w:rPr>
          <w:b/>
          <w:lang w:val="en-US"/>
        </w:rPr>
      </w:pPr>
      <w:r>
        <w:rPr>
          <w:b/>
          <w:noProof/>
        </w:rPr>
        <w:lastRenderedPageBreak/>
        <w:drawing>
          <wp:inline distT="0" distB="0" distL="0" distR="0" wp14:anchorId="1CA49FFD" wp14:editId="729A7E5B">
            <wp:extent cx="5756910" cy="3818890"/>
            <wp:effectExtent l="0" t="0" r="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5final.tif"/>
                    <pic:cNvPicPr/>
                  </pic:nvPicPr>
                  <pic:blipFill>
                    <a:blip r:embed="rId13">
                      <a:extLst>
                        <a:ext uri="{28A0092B-C50C-407E-A947-70E740481C1C}">
                          <a14:useLocalDpi xmlns:a14="http://schemas.microsoft.com/office/drawing/2010/main" val="0"/>
                        </a:ext>
                      </a:extLst>
                    </a:blip>
                    <a:stretch>
                      <a:fillRect/>
                    </a:stretch>
                  </pic:blipFill>
                  <pic:spPr>
                    <a:xfrm>
                      <a:off x="0" y="0"/>
                      <a:ext cx="5756910" cy="3818890"/>
                    </a:xfrm>
                    <a:prstGeom prst="rect">
                      <a:avLst/>
                    </a:prstGeom>
                  </pic:spPr>
                </pic:pic>
              </a:graphicData>
            </a:graphic>
          </wp:inline>
        </w:drawing>
      </w:r>
    </w:p>
    <w:p w14:paraId="34E344E2" w14:textId="0DD66101" w:rsidR="00364462" w:rsidRDefault="00364462" w:rsidP="00FE2896">
      <w:pPr>
        <w:spacing w:line="480" w:lineRule="auto"/>
        <w:jc w:val="both"/>
        <w:rPr>
          <w:b/>
          <w:lang w:val="en-US"/>
        </w:rPr>
      </w:pPr>
    </w:p>
    <w:p w14:paraId="53FF6B50" w14:textId="2A5A3E88" w:rsidR="00FE2896" w:rsidRPr="00245623" w:rsidRDefault="00FE2896" w:rsidP="00FE2896">
      <w:pPr>
        <w:spacing w:line="480" w:lineRule="auto"/>
        <w:jc w:val="both"/>
        <w:rPr>
          <w:sz w:val="22"/>
          <w:szCs w:val="22"/>
          <w:lang w:val="en-US"/>
        </w:rPr>
      </w:pPr>
      <w:r w:rsidRPr="00245623">
        <w:rPr>
          <w:b/>
          <w:lang w:val="en-US"/>
        </w:rPr>
        <w:t>Figure</w:t>
      </w:r>
      <w:r w:rsidR="00FC7CFF" w:rsidRPr="00245623">
        <w:rPr>
          <w:b/>
          <w:lang w:val="en-US"/>
        </w:rPr>
        <w:t xml:space="preserve"> 5</w:t>
      </w:r>
      <w:r w:rsidRPr="00245623">
        <w:rPr>
          <w:b/>
          <w:lang w:val="en-US"/>
        </w:rPr>
        <w:t xml:space="preserve">: Immunohistochemistry markers of glial cells in control and CPZ mice. </w:t>
      </w:r>
      <w:r w:rsidRPr="00245623">
        <w:rPr>
          <w:color w:val="000000"/>
          <w:lang w:val="en-US"/>
        </w:rPr>
        <w:t xml:space="preserve">A) </w:t>
      </w:r>
      <w:r w:rsidRPr="00245623">
        <w:rPr>
          <w:lang w:val="en-US"/>
        </w:rPr>
        <w:t>Immunohistochemistry images for astrocytic (GFAP)</w:t>
      </w:r>
      <w:r w:rsidR="00406BD4" w:rsidRPr="00245623">
        <w:rPr>
          <w:lang w:val="en-US"/>
        </w:rPr>
        <w:t>,</w:t>
      </w:r>
      <w:r w:rsidRPr="00245623">
        <w:rPr>
          <w:lang w:val="en-US"/>
        </w:rPr>
        <w:t xml:space="preserve"> microglial (IBA1)</w:t>
      </w:r>
      <w:r w:rsidR="00406BD4" w:rsidRPr="00245623">
        <w:rPr>
          <w:lang w:val="en-US"/>
        </w:rPr>
        <w:t xml:space="preserve"> and oligodendroglial (CC1)</w:t>
      </w:r>
      <w:r w:rsidRPr="00245623">
        <w:rPr>
          <w:lang w:val="en-US"/>
        </w:rPr>
        <w:t xml:space="preserve"> immunofluorescence obtained in the corpus callosum of </w:t>
      </w:r>
      <w:r w:rsidRPr="00245623">
        <w:rPr>
          <w:color w:val="000000"/>
          <w:lang w:val="en-US"/>
        </w:rPr>
        <w:t>one control mouse (left) and one CPZ mouse (right). Yellow dashed lines delimit the body of the corpus callosum, where AAF</w:t>
      </w:r>
      <w:r w:rsidR="00406BD4" w:rsidRPr="00245623">
        <w:rPr>
          <w:color w:val="000000"/>
          <w:lang w:val="en-US"/>
        </w:rPr>
        <w:t xml:space="preserve">, </w:t>
      </w:r>
      <w:r w:rsidRPr="00245623">
        <w:rPr>
          <w:color w:val="000000"/>
          <w:lang w:val="en-US"/>
        </w:rPr>
        <w:t>MAF</w:t>
      </w:r>
      <w:r w:rsidR="00406BD4" w:rsidRPr="00245623">
        <w:rPr>
          <w:color w:val="000000"/>
          <w:lang w:val="en-US"/>
        </w:rPr>
        <w:t xml:space="preserve"> and OAF</w:t>
      </w:r>
      <w:r w:rsidRPr="00245623">
        <w:rPr>
          <w:color w:val="000000"/>
          <w:lang w:val="en-US"/>
        </w:rPr>
        <w:t xml:space="preserve"> were calculated. </w:t>
      </w:r>
      <w:r w:rsidRPr="00245623">
        <w:rPr>
          <w:lang w:val="en-US"/>
        </w:rPr>
        <w:t xml:space="preserve"> </w:t>
      </w:r>
      <w:r w:rsidRPr="00245623">
        <w:rPr>
          <w:iCs/>
          <w:szCs w:val="22"/>
          <w:lang w:val="en-US"/>
        </w:rPr>
        <w:t>B)</w:t>
      </w:r>
      <w:r w:rsidRPr="00245623">
        <w:rPr>
          <w:iCs/>
          <w:color w:val="000000"/>
          <w:szCs w:val="22"/>
          <w:lang w:val="en-US"/>
        </w:rPr>
        <w:t xml:space="preserve"> Box plots of AAF</w:t>
      </w:r>
      <w:r w:rsidR="0088009D" w:rsidRPr="00245623">
        <w:rPr>
          <w:iCs/>
          <w:color w:val="000000"/>
          <w:szCs w:val="22"/>
          <w:lang w:val="en-US"/>
        </w:rPr>
        <w:t xml:space="preserve">, </w:t>
      </w:r>
      <w:r w:rsidRPr="00245623">
        <w:rPr>
          <w:iCs/>
          <w:color w:val="000000"/>
          <w:szCs w:val="22"/>
          <w:lang w:val="en-US"/>
        </w:rPr>
        <w:t xml:space="preserve">MAF </w:t>
      </w:r>
      <w:r w:rsidR="0088009D" w:rsidRPr="00245623">
        <w:rPr>
          <w:iCs/>
          <w:color w:val="000000"/>
          <w:szCs w:val="22"/>
          <w:lang w:val="en-US"/>
        </w:rPr>
        <w:t xml:space="preserve">and OAF </w:t>
      </w:r>
      <w:r w:rsidRPr="00245623">
        <w:rPr>
          <w:iCs/>
          <w:color w:val="000000"/>
          <w:szCs w:val="22"/>
          <w:lang w:val="en-US"/>
        </w:rPr>
        <w:t>measured in the body of the corpus callosum of control</w:t>
      </w:r>
      <w:r w:rsidRPr="00245623">
        <w:rPr>
          <w:iCs/>
          <w:color w:val="000000"/>
          <w:szCs w:val="22"/>
          <w:vertAlign w:val="subscript"/>
          <w:lang w:val="en-US"/>
        </w:rPr>
        <w:t xml:space="preserve"> </w:t>
      </w:r>
      <w:r w:rsidRPr="00245623">
        <w:rPr>
          <w:iCs/>
          <w:color w:val="000000"/>
          <w:szCs w:val="22"/>
          <w:lang w:val="en-US"/>
        </w:rPr>
        <w:t xml:space="preserve">(blue </w:t>
      </w:r>
      <w:r w:rsidR="0025659F" w:rsidRPr="00245623">
        <w:rPr>
          <w:iCs/>
          <w:color w:val="000000"/>
          <w:szCs w:val="22"/>
          <w:lang w:val="en-US"/>
        </w:rPr>
        <w:t>boxes</w:t>
      </w:r>
      <w:r w:rsidRPr="00245623">
        <w:rPr>
          <w:iCs/>
          <w:color w:val="000000"/>
          <w:szCs w:val="22"/>
          <w:lang w:val="en-US"/>
        </w:rPr>
        <w:t xml:space="preserve">) and CPZ (red </w:t>
      </w:r>
      <w:r w:rsidR="0025659F" w:rsidRPr="00245623">
        <w:rPr>
          <w:iCs/>
          <w:color w:val="000000"/>
          <w:szCs w:val="22"/>
          <w:lang w:val="en-US"/>
        </w:rPr>
        <w:t>boxes</w:t>
      </w:r>
      <w:r w:rsidRPr="00245623">
        <w:rPr>
          <w:iCs/>
          <w:color w:val="000000"/>
          <w:szCs w:val="22"/>
          <w:lang w:val="en-US"/>
        </w:rPr>
        <w:t xml:space="preserve">) mice. For each box the central mark indicates the median value and the bottom and top edges indicate the 25th and 75th percentiles, respectively. </w:t>
      </w:r>
      <w:r w:rsidR="0025659F" w:rsidRPr="00245623">
        <w:rPr>
          <w:iCs/>
          <w:color w:val="000000"/>
          <w:szCs w:val="22"/>
          <w:lang w:val="en-US"/>
        </w:rPr>
        <w:t xml:space="preserve">Circles represent values from individual mice. </w:t>
      </w:r>
      <w:r w:rsidRPr="00245623">
        <w:rPr>
          <w:iCs/>
          <w:szCs w:val="22"/>
          <w:lang w:val="en-US"/>
        </w:rPr>
        <w:t>Asterisks indicate significant difference between control</w:t>
      </w:r>
      <w:r w:rsidRPr="00245623">
        <w:rPr>
          <w:iCs/>
          <w:szCs w:val="22"/>
          <w:vertAlign w:val="subscript"/>
          <w:lang w:val="en-US"/>
        </w:rPr>
        <w:t xml:space="preserve"> </w:t>
      </w:r>
      <w:r w:rsidRPr="00245623">
        <w:rPr>
          <w:iCs/>
          <w:szCs w:val="22"/>
          <w:lang w:val="en-US"/>
        </w:rPr>
        <w:t>and CPZ mice (**</w:t>
      </w:r>
      <w:r w:rsidRPr="00245623">
        <w:rPr>
          <w:i/>
          <w:iCs/>
          <w:szCs w:val="22"/>
          <w:lang w:val="en-US"/>
        </w:rPr>
        <w:t>p</w:t>
      </w:r>
      <w:r w:rsidRPr="00245623">
        <w:rPr>
          <w:iCs/>
          <w:szCs w:val="22"/>
          <w:lang w:val="en-US"/>
        </w:rPr>
        <w:t xml:space="preserve"> &lt; 0.005). AAF: astrocyte area fraction; </w:t>
      </w:r>
      <w:r w:rsidR="00406BD4" w:rsidRPr="00245623">
        <w:rPr>
          <w:iCs/>
          <w:szCs w:val="22"/>
          <w:lang w:val="en-US"/>
        </w:rPr>
        <w:t xml:space="preserve">CC1: </w:t>
      </w:r>
      <w:r w:rsidR="00406BD4" w:rsidRPr="00245623">
        <w:rPr>
          <w:rFonts w:eastAsia="Liberation Serif"/>
          <w:lang w:val="en-US"/>
        </w:rPr>
        <w:t>adenomatous polyposis coli oligodendrocyte proteins;</w:t>
      </w:r>
      <w:r w:rsidR="00406BD4" w:rsidRPr="00245623">
        <w:rPr>
          <w:iCs/>
          <w:szCs w:val="22"/>
          <w:lang w:val="en-US"/>
        </w:rPr>
        <w:t xml:space="preserve"> </w:t>
      </w:r>
      <w:r w:rsidRPr="00245623">
        <w:rPr>
          <w:iCs/>
          <w:szCs w:val="22"/>
          <w:lang w:val="en-US"/>
        </w:rPr>
        <w:t xml:space="preserve">MAF: microglia area fraction; </w:t>
      </w:r>
      <w:r w:rsidRPr="00245623">
        <w:rPr>
          <w:lang w:val="en-US"/>
        </w:rPr>
        <w:t xml:space="preserve">GFAP: glial fibrillary acidic protein; IBA1: </w:t>
      </w:r>
      <w:r w:rsidRPr="00245623">
        <w:rPr>
          <w:rFonts w:eastAsia="Liberation Serif"/>
          <w:lang w:val="en-US"/>
        </w:rPr>
        <w:t>adaptive molecule linking ionizing calcium 1</w:t>
      </w:r>
      <w:r w:rsidR="00406BD4" w:rsidRPr="00245623">
        <w:rPr>
          <w:rFonts w:eastAsia="Liberation Serif"/>
          <w:lang w:val="en-US"/>
        </w:rPr>
        <w:t xml:space="preserve">; OAF:  </w:t>
      </w:r>
      <w:r w:rsidR="00406BD4" w:rsidRPr="00245623">
        <w:rPr>
          <w:iCs/>
          <w:color w:val="000000"/>
          <w:szCs w:val="22"/>
          <w:lang w:val="en-US"/>
        </w:rPr>
        <w:t>oligodendrocyte area fraction</w:t>
      </w:r>
      <w:r w:rsidRPr="00245623">
        <w:rPr>
          <w:rFonts w:eastAsia="Liberation Serif"/>
          <w:lang w:val="en-US"/>
        </w:rPr>
        <w:t>.</w:t>
      </w:r>
    </w:p>
    <w:p w14:paraId="59BE7924" w14:textId="51BFE2A8" w:rsidR="00364462" w:rsidRPr="00245623" w:rsidRDefault="00364462" w:rsidP="00FE2896">
      <w:pPr>
        <w:spacing w:line="480" w:lineRule="auto"/>
        <w:jc w:val="both"/>
        <w:rPr>
          <w:b/>
          <w:lang w:val="en-US"/>
        </w:rPr>
      </w:pPr>
      <w:r>
        <w:rPr>
          <w:b/>
          <w:noProof/>
        </w:rPr>
        <w:lastRenderedPageBreak/>
        <w:drawing>
          <wp:anchor distT="0" distB="0" distL="114300" distR="114300" simplePos="0" relativeHeight="251667456" behindDoc="0" locked="0" layoutInCell="1" allowOverlap="1" wp14:anchorId="1BE44F29" wp14:editId="60E37B7B">
            <wp:simplePos x="0" y="0"/>
            <wp:positionH relativeFrom="column">
              <wp:posOffset>468630</wp:posOffset>
            </wp:positionH>
            <wp:positionV relativeFrom="paragraph">
              <wp:posOffset>133985</wp:posOffset>
            </wp:positionV>
            <wp:extent cx="4314825" cy="4410710"/>
            <wp:effectExtent l="0" t="0" r="3175" b="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6-01.tif"/>
                    <pic:cNvPicPr/>
                  </pic:nvPicPr>
                  <pic:blipFill>
                    <a:blip r:embed="rId14">
                      <a:extLst>
                        <a:ext uri="{28A0092B-C50C-407E-A947-70E740481C1C}">
                          <a14:useLocalDpi xmlns:a14="http://schemas.microsoft.com/office/drawing/2010/main" val="0"/>
                        </a:ext>
                      </a:extLst>
                    </a:blip>
                    <a:stretch>
                      <a:fillRect/>
                    </a:stretch>
                  </pic:blipFill>
                  <pic:spPr>
                    <a:xfrm>
                      <a:off x="0" y="0"/>
                      <a:ext cx="4314825" cy="4410710"/>
                    </a:xfrm>
                    <a:prstGeom prst="rect">
                      <a:avLst/>
                    </a:prstGeom>
                  </pic:spPr>
                </pic:pic>
              </a:graphicData>
            </a:graphic>
            <wp14:sizeRelH relativeFrom="page">
              <wp14:pctWidth>0</wp14:pctWidth>
            </wp14:sizeRelH>
            <wp14:sizeRelV relativeFrom="page">
              <wp14:pctHeight>0</wp14:pctHeight>
            </wp14:sizeRelV>
          </wp:anchor>
        </w:drawing>
      </w:r>
    </w:p>
    <w:p w14:paraId="7B9394CC" w14:textId="5E28B163" w:rsidR="00FE2896" w:rsidRPr="00245623" w:rsidRDefault="00FE2896" w:rsidP="00FE2896">
      <w:pPr>
        <w:spacing w:line="480" w:lineRule="auto"/>
        <w:jc w:val="both"/>
        <w:rPr>
          <w:iCs/>
          <w:lang w:val="en-US"/>
        </w:rPr>
      </w:pPr>
      <w:r w:rsidRPr="00245623">
        <w:rPr>
          <w:b/>
          <w:lang w:val="en-US"/>
        </w:rPr>
        <w:t xml:space="preserve">Figure </w:t>
      </w:r>
      <w:r w:rsidR="00FC7CFF" w:rsidRPr="00245623">
        <w:rPr>
          <w:b/>
          <w:lang w:val="en-US"/>
        </w:rPr>
        <w:t>6</w:t>
      </w:r>
      <w:r w:rsidRPr="00245623">
        <w:rPr>
          <w:b/>
          <w:lang w:val="en-US"/>
        </w:rPr>
        <w:t xml:space="preserve">: </w:t>
      </w:r>
      <w:r w:rsidRPr="00245623">
        <w:rPr>
          <w:b/>
          <w:iCs/>
          <w:lang w:val="en-US"/>
        </w:rPr>
        <w:t>Correlations between DW-MRS and immunohistochemistry markers of glial cells</w:t>
      </w:r>
      <w:r w:rsidRPr="00245623">
        <w:rPr>
          <w:iCs/>
          <w:lang w:val="en-US"/>
        </w:rPr>
        <w:t xml:space="preserve">. </w:t>
      </w:r>
      <w:r w:rsidRPr="00245623">
        <w:rPr>
          <w:iCs/>
          <w:color w:val="000000"/>
          <w:lang w:val="en-US"/>
        </w:rPr>
        <w:t xml:space="preserve">Scatter plots of AAF and MAF against </w:t>
      </w:r>
      <w:proofErr w:type="spellStart"/>
      <w:r w:rsidRPr="00245623">
        <w:rPr>
          <w:iCs/>
          <w:color w:val="000000"/>
          <w:lang w:val="en-US"/>
        </w:rPr>
        <w:t>mIns</w:t>
      </w:r>
      <w:proofErr w:type="spellEnd"/>
      <w:r w:rsidRPr="00245623">
        <w:rPr>
          <w:iCs/>
          <w:color w:val="000000"/>
          <w:lang w:val="en-US"/>
        </w:rPr>
        <w:t xml:space="preserve"> </w:t>
      </w:r>
      <w:r w:rsidRPr="00245623">
        <w:rPr>
          <w:color w:val="000000"/>
          <w:lang w:val="en-US"/>
        </w:rPr>
        <w:t xml:space="preserve">ADC </w:t>
      </w:r>
      <w:r w:rsidRPr="00245623">
        <w:rPr>
          <w:iCs/>
          <w:color w:val="000000"/>
          <w:lang w:val="en-US"/>
        </w:rPr>
        <w:t xml:space="preserve">(A, C) </w:t>
      </w:r>
      <w:r w:rsidRPr="00245623">
        <w:rPr>
          <w:color w:val="000000"/>
          <w:lang w:val="en-US"/>
        </w:rPr>
        <w:t xml:space="preserve">and </w:t>
      </w:r>
      <w:proofErr w:type="spellStart"/>
      <w:r w:rsidRPr="00245623">
        <w:rPr>
          <w:color w:val="000000"/>
          <w:lang w:val="en-US"/>
        </w:rPr>
        <w:t>tCho</w:t>
      </w:r>
      <w:proofErr w:type="spellEnd"/>
      <w:r w:rsidRPr="00245623">
        <w:rPr>
          <w:color w:val="000000"/>
          <w:lang w:val="en-US"/>
        </w:rPr>
        <w:t xml:space="preserve"> ADC (B, D)</w:t>
      </w:r>
      <w:r w:rsidRPr="00245623">
        <w:rPr>
          <w:iCs/>
          <w:color w:val="000000"/>
          <w:lang w:val="en-US"/>
        </w:rPr>
        <w:t xml:space="preserve">. Only half of the mice were sacrificed for IHC analysis. </w:t>
      </w:r>
      <w:r w:rsidRPr="00245623">
        <w:rPr>
          <w:iCs/>
          <w:lang w:val="en-US"/>
        </w:rPr>
        <w:t>Black lines and dashed lines indicate significant linear regressions (</w:t>
      </w:r>
      <w:r w:rsidRPr="00245623">
        <w:rPr>
          <w:i/>
          <w:iCs/>
          <w:lang w:val="en-US"/>
        </w:rPr>
        <w:t>p</w:t>
      </w:r>
      <w:r w:rsidRPr="00245623">
        <w:rPr>
          <w:iCs/>
          <w:lang w:val="en-US"/>
        </w:rPr>
        <w:t xml:space="preserve"> &lt; 0.05) and trends (</w:t>
      </w:r>
      <w:r w:rsidRPr="00245623">
        <w:rPr>
          <w:i/>
          <w:iCs/>
          <w:lang w:val="en-US"/>
        </w:rPr>
        <w:t>p</w:t>
      </w:r>
      <w:r w:rsidRPr="00245623">
        <w:rPr>
          <w:iCs/>
          <w:lang w:val="en-US"/>
        </w:rPr>
        <w:t xml:space="preserve"> &lt; 0.10), respectively. Corresponding Pearson correlation coefficients and </w:t>
      </w:r>
      <w:r w:rsidRPr="00245623">
        <w:rPr>
          <w:i/>
          <w:iCs/>
          <w:lang w:val="en-US"/>
        </w:rPr>
        <w:t>p</w:t>
      </w:r>
      <w:r w:rsidRPr="00245623">
        <w:rPr>
          <w:iCs/>
          <w:lang w:val="en-US"/>
        </w:rPr>
        <w:t>-values are reported on top of each plot. In (A), the red line indicates the linear regression calculated considering the CPZ group alone.</w:t>
      </w:r>
      <w:r w:rsidRPr="00245623">
        <w:rPr>
          <w:b/>
          <w:bCs/>
          <w:noProof/>
          <w:lang w:val="en-US"/>
        </w:rPr>
        <w:t xml:space="preserve">  </w:t>
      </w:r>
      <w:r w:rsidRPr="00245623">
        <w:rPr>
          <w:bCs/>
          <w:noProof/>
          <w:lang w:val="en-US"/>
        </w:rPr>
        <w:t>The corresponding</w:t>
      </w:r>
      <w:r w:rsidRPr="00245623">
        <w:rPr>
          <w:b/>
          <w:bCs/>
          <w:noProof/>
          <w:lang w:val="en-US"/>
        </w:rPr>
        <w:t xml:space="preserve"> </w:t>
      </w:r>
      <w:r w:rsidRPr="00245623">
        <w:rPr>
          <w:iCs/>
          <w:lang w:val="en-US"/>
        </w:rPr>
        <w:t xml:space="preserve">Pearson correlation coefficient and </w:t>
      </w:r>
      <w:r w:rsidRPr="00245623">
        <w:rPr>
          <w:i/>
          <w:iCs/>
          <w:lang w:val="en-US"/>
        </w:rPr>
        <w:t>p</w:t>
      </w:r>
      <w:r w:rsidRPr="00245623">
        <w:rPr>
          <w:iCs/>
          <w:lang w:val="en-US"/>
        </w:rPr>
        <w:t xml:space="preserve">-value are reported in the box. </w:t>
      </w:r>
    </w:p>
    <w:p w14:paraId="67C03F28" w14:textId="77777777" w:rsidR="00FE2896" w:rsidRPr="00245623" w:rsidRDefault="00FE2896" w:rsidP="00FE2896">
      <w:pPr>
        <w:spacing w:line="480" w:lineRule="auto"/>
        <w:jc w:val="both"/>
        <w:rPr>
          <w:color w:val="000000"/>
          <w:lang w:val="en-US"/>
        </w:rPr>
      </w:pPr>
      <w:r w:rsidRPr="00245623">
        <w:rPr>
          <w:lang w:val="en-US"/>
        </w:rPr>
        <w:t xml:space="preserve">AAF: astrocyte area fraction; MAF: microglia area fraction; </w:t>
      </w:r>
      <w:proofErr w:type="spellStart"/>
      <w:r w:rsidRPr="00245623">
        <w:rPr>
          <w:lang w:val="en-US"/>
        </w:rPr>
        <w:t>mIns</w:t>
      </w:r>
      <w:proofErr w:type="spellEnd"/>
      <w:r w:rsidRPr="00245623">
        <w:rPr>
          <w:lang w:val="en-US"/>
        </w:rPr>
        <w:t xml:space="preserve">: </w:t>
      </w:r>
      <w:r w:rsidRPr="00245623">
        <w:rPr>
          <w:i/>
          <w:lang w:val="en-US"/>
        </w:rPr>
        <w:t>myo</w:t>
      </w:r>
      <w:r w:rsidRPr="00245623">
        <w:rPr>
          <w:lang w:val="en-US"/>
        </w:rPr>
        <w:t xml:space="preserve">-inositol; </w:t>
      </w:r>
      <w:proofErr w:type="spellStart"/>
      <w:r w:rsidRPr="00245623">
        <w:rPr>
          <w:lang w:val="en-US"/>
        </w:rPr>
        <w:t>tCho</w:t>
      </w:r>
      <w:proofErr w:type="spellEnd"/>
      <w:r w:rsidRPr="00245623">
        <w:rPr>
          <w:lang w:val="en-US"/>
        </w:rPr>
        <w:t xml:space="preserve">: choline compounds ; </w:t>
      </w:r>
      <w:proofErr w:type="spellStart"/>
      <w:r w:rsidRPr="00245623">
        <w:rPr>
          <w:lang w:val="en-US"/>
        </w:rPr>
        <w:t>tCr</w:t>
      </w:r>
      <w:proofErr w:type="spellEnd"/>
      <w:r w:rsidRPr="00245623">
        <w:rPr>
          <w:lang w:val="en-US"/>
        </w:rPr>
        <w:t xml:space="preserve"> : creatine + phosphocreatine ; </w:t>
      </w:r>
      <w:proofErr w:type="spellStart"/>
      <w:r w:rsidRPr="00245623">
        <w:rPr>
          <w:lang w:val="en-US"/>
        </w:rPr>
        <w:t>tNAA</w:t>
      </w:r>
      <w:proofErr w:type="spellEnd"/>
      <w:r w:rsidRPr="00245623">
        <w:rPr>
          <w:lang w:val="en-US"/>
        </w:rPr>
        <w:t xml:space="preserve">: </w:t>
      </w:r>
      <w:r w:rsidRPr="00245623">
        <w:rPr>
          <w:i/>
          <w:lang w:val="en-US"/>
        </w:rPr>
        <w:t>N</w:t>
      </w:r>
      <w:r w:rsidRPr="00245623">
        <w:rPr>
          <w:lang w:val="en-US"/>
        </w:rPr>
        <w:t>-</w:t>
      </w:r>
      <w:proofErr w:type="spellStart"/>
      <w:r w:rsidRPr="00245623">
        <w:rPr>
          <w:lang w:val="en-US"/>
        </w:rPr>
        <w:t>acetylaspartate</w:t>
      </w:r>
      <w:proofErr w:type="spellEnd"/>
      <w:r w:rsidRPr="00245623">
        <w:rPr>
          <w:lang w:val="en-US"/>
        </w:rPr>
        <w:t xml:space="preserve"> + </w:t>
      </w:r>
      <w:r w:rsidRPr="00245623">
        <w:rPr>
          <w:i/>
          <w:lang w:val="en-US"/>
        </w:rPr>
        <w:t>N</w:t>
      </w:r>
      <w:r w:rsidRPr="00245623">
        <w:rPr>
          <w:lang w:val="en-US"/>
        </w:rPr>
        <w:t>-</w:t>
      </w:r>
      <w:proofErr w:type="spellStart"/>
      <w:r w:rsidRPr="00245623">
        <w:rPr>
          <w:lang w:val="en-US"/>
        </w:rPr>
        <w:t>acetylaspartylglutamate</w:t>
      </w:r>
      <w:proofErr w:type="spellEnd"/>
      <w:r w:rsidRPr="00245623">
        <w:rPr>
          <w:lang w:val="en-US"/>
        </w:rPr>
        <w:t>.</w:t>
      </w:r>
    </w:p>
    <w:p w14:paraId="740136C9" w14:textId="4669A855" w:rsidR="00C80345" w:rsidRPr="00245623" w:rsidRDefault="00C80345" w:rsidP="00C80345">
      <w:pPr>
        <w:spacing w:line="360" w:lineRule="auto"/>
        <w:jc w:val="both"/>
        <w:rPr>
          <w:bCs/>
          <w:color w:val="000000" w:themeColor="text1"/>
          <w:lang w:val="en-US"/>
        </w:rPr>
      </w:pPr>
    </w:p>
    <w:p w14:paraId="159B4EB8" w14:textId="77777777" w:rsidR="00364462" w:rsidRDefault="00364462" w:rsidP="0088009D">
      <w:pPr>
        <w:spacing w:line="480" w:lineRule="auto"/>
        <w:jc w:val="both"/>
        <w:rPr>
          <w:b/>
          <w:lang w:val="en-US"/>
        </w:rPr>
      </w:pPr>
    </w:p>
    <w:p w14:paraId="46DDEDDB" w14:textId="77777777" w:rsidR="00364462" w:rsidRDefault="00364462" w:rsidP="0088009D">
      <w:pPr>
        <w:spacing w:line="480" w:lineRule="auto"/>
        <w:jc w:val="both"/>
        <w:rPr>
          <w:b/>
          <w:lang w:val="en-US"/>
        </w:rPr>
      </w:pPr>
    </w:p>
    <w:p w14:paraId="0FAF785B" w14:textId="25D73C3E" w:rsidR="00364462" w:rsidRDefault="00364462" w:rsidP="0088009D">
      <w:pPr>
        <w:spacing w:line="480" w:lineRule="auto"/>
        <w:jc w:val="both"/>
        <w:rPr>
          <w:b/>
          <w:lang w:val="en-US"/>
        </w:rPr>
      </w:pPr>
      <w:r>
        <w:rPr>
          <w:b/>
          <w:noProof/>
        </w:rPr>
        <w:lastRenderedPageBreak/>
        <w:drawing>
          <wp:anchor distT="0" distB="0" distL="114300" distR="114300" simplePos="0" relativeHeight="251668480" behindDoc="0" locked="0" layoutInCell="1" allowOverlap="1" wp14:anchorId="4D2EEE44" wp14:editId="46107C21">
            <wp:simplePos x="0" y="0"/>
            <wp:positionH relativeFrom="column">
              <wp:posOffset>1520190</wp:posOffset>
            </wp:positionH>
            <wp:positionV relativeFrom="paragraph">
              <wp:posOffset>68580</wp:posOffset>
            </wp:positionV>
            <wp:extent cx="2599266" cy="2389032"/>
            <wp:effectExtent l="0" t="0" r="4445" b="0"/>
            <wp:wrapTopAndBottom/>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7-01.tif"/>
                    <pic:cNvPicPr/>
                  </pic:nvPicPr>
                  <pic:blipFill>
                    <a:blip r:embed="rId15">
                      <a:extLst>
                        <a:ext uri="{28A0092B-C50C-407E-A947-70E740481C1C}">
                          <a14:useLocalDpi xmlns:a14="http://schemas.microsoft.com/office/drawing/2010/main" val="0"/>
                        </a:ext>
                      </a:extLst>
                    </a:blip>
                    <a:stretch>
                      <a:fillRect/>
                    </a:stretch>
                  </pic:blipFill>
                  <pic:spPr>
                    <a:xfrm>
                      <a:off x="0" y="0"/>
                      <a:ext cx="2599266" cy="2389032"/>
                    </a:xfrm>
                    <a:prstGeom prst="rect">
                      <a:avLst/>
                    </a:prstGeom>
                  </pic:spPr>
                </pic:pic>
              </a:graphicData>
            </a:graphic>
            <wp14:sizeRelH relativeFrom="page">
              <wp14:pctWidth>0</wp14:pctWidth>
            </wp14:sizeRelH>
            <wp14:sizeRelV relativeFrom="page">
              <wp14:pctHeight>0</wp14:pctHeight>
            </wp14:sizeRelV>
          </wp:anchor>
        </w:drawing>
      </w:r>
    </w:p>
    <w:p w14:paraId="588AA3CE" w14:textId="4AFAB99C" w:rsidR="0088009D" w:rsidRPr="00245623" w:rsidRDefault="0088009D" w:rsidP="0088009D">
      <w:pPr>
        <w:spacing w:line="480" w:lineRule="auto"/>
        <w:jc w:val="both"/>
        <w:rPr>
          <w:iCs/>
          <w:szCs w:val="22"/>
          <w:lang w:val="en-US"/>
        </w:rPr>
      </w:pPr>
      <w:r w:rsidRPr="00245623">
        <w:rPr>
          <w:b/>
          <w:lang w:val="en-US"/>
        </w:rPr>
        <w:t xml:space="preserve">Figure </w:t>
      </w:r>
      <w:r w:rsidR="00FC7CFF" w:rsidRPr="00245623">
        <w:rPr>
          <w:b/>
          <w:lang w:val="en-US"/>
        </w:rPr>
        <w:t>7</w:t>
      </w:r>
      <w:r w:rsidRPr="00245623">
        <w:rPr>
          <w:b/>
          <w:lang w:val="en-US"/>
        </w:rPr>
        <w:t xml:space="preserve">: </w:t>
      </w:r>
      <w:r w:rsidRPr="00245623">
        <w:rPr>
          <w:b/>
          <w:iCs/>
          <w:lang w:val="en-US"/>
        </w:rPr>
        <w:t>Correlation between astrocytic and microglial immunohistochemistry markers</w:t>
      </w:r>
      <w:r w:rsidRPr="00245623">
        <w:rPr>
          <w:iCs/>
          <w:lang w:val="en-US"/>
        </w:rPr>
        <w:t xml:space="preserve">. </w:t>
      </w:r>
      <w:r w:rsidRPr="00245623">
        <w:rPr>
          <w:iCs/>
          <w:color w:val="000000"/>
          <w:lang w:val="en-US"/>
        </w:rPr>
        <w:t xml:space="preserve">Scatter plots of MAF against AAF. Only half of the mice were sacrificed for IHC analysis. The </w:t>
      </w:r>
      <w:r w:rsidRPr="00245623">
        <w:rPr>
          <w:iCs/>
          <w:lang w:val="en-US"/>
        </w:rPr>
        <w:t xml:space="preserve">black line indicates a significant linear regression. The corresponding Pearson correlation coefficient and </w:t>
      </w:r>
      <w:r w:rsidRPr="00245623">
        <w:rPr>
          <w:i/>
          <w:iCs/>
          <w:lang w:val="en-US"/>
        </w:rPr>
        <w:t>p</w:t>
      </w:r>
      <w:r w:rsidRPr="00245623">
        <w:rPr>
          <w:iCs/>
          <w:lang w:val="en-US"/>
        </w:rPr>
        <w:t xml:space="preserve">-value are reported on top. </w:t>
      </w:r>
      <w:r w:rsidRPr="00245623">
        <w:rPr>
          <w:lang w:val="en-US"/>
        </w:rPr>
        <w:t>AAF: astrocyte area fraction; MAF: microglia area fraction.</w:t>
      </w:r>
    </w:p>
    <w:p w14:paraId="6DE9A386" w14:textId="77777777" w:rsidR="00C80345" w:rsidRPr="00245623" w:rsidRDefault="00C80345" w:rsidP="00C1199D">
      <w:pPr>
        <w:autoSpaceDE w:val="0"/>
        <w:autoSpaceDN w:val="0"/>
        <w:adjustRightInd w:val="0"/>
        <w:rPr>
          <w:rFonts w:eastAsia="WenQuanYi Micro Hei"/>
          <w:b/>
          <w:sz w:val="40"/>
          <w:lang w:val="en-US" w:eastAsia="zh-CN"/>
        </w:rPr>
      </w:pPr>
      <w:bookmarkStart w:id="15" w:name="_GoBack"/>
      <w:bookmarkEnd w:id="15"/>
    </w:p>
    <w:sectPr w:rsidR="00C80345" w:rsidRPr="00245623" w:rsidSect="0079288E">
      <w:footerReference w:type="even" r:id="rId16"/>
      <w:footerReference w:type="default" r:id="rId17"/>
      <w:pgSz w:w="11906" w:h="16838"/>
      <w:pgMar w:top="1134" w:right="1134" w:bottom="1134" w:left="1134" w:header="0" w:footer="0" w:gutter="0"/>
      <w:cols w:space="720"/>
      <w:formProt w:val="0"/>
      <w:docGrid w:linePitch="326" w:charSpace="-6145"/>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94E1A9" w16cex:dateUtc="2020-06-17T17:38:00Z"/>
  <w16cex:commentExtensible w16cex:durableId="2294E5AE" w16cex:dateUtc="2020-06-17T17:55:00Z"/>
  <w16cex:commentExtensible w16cex:durableId="2294E9F6" w16cex:dateUtc="2020-06-17T18:13:00Z"/>
  <w16cex:commentExtensible w16cex:durableId="2295EA03" w16cex:dateUtc="2020-06-18T11:26:00Z"/>
  <w16cex:commentExtensible w16cex:durableId="2294EB09" w16cex:dateUtc="2020-06-17T18:18:00Z"/>
  <w16cex:commentExtensible w16cex:durableId="2295EAD5" w16cex:dateUtc="2020-06-18T11:29:00Z"/>
  <w16cex:commentExtensible w16cex:durableId="2294EB76" w16cex:dateUtc="2020-06-17T18:20:00Z"/>
  <w16cex:commentExtensible w16cex:durableId="2294ECA6" w16cex:dateUtc="2020-06-17T18:25:00Z"/>
  <w16cex:commentExtensible w16cex:durableId="2294EE2F" w16cex:dateUtc="2020-06-17T18:31:00Z"/>
  <w16cex:commentExtensible w16cex:durableId="2294EEE4" w16cex:dateUtc="2020-06-17T18:35:00Z"/>
  <w16cex:commentExtensible w16cex:durableId="2294F0F9" w16cex:dateUtc="2020-06-17T18:43:00Z"/>
  <w16cex:commentExtensible w16cex:durableId="2294F238" w16cex:dateUtc="2020-06-17T18:49:00Z"/>
  <w16cex:commentExtensible w16cex:durableId="2294F69A" w16cex:dateUtc="2020-06-17T19:07:00Z"/>
  <w16cex:commentExtensible w16cex:durableId="2294F790" w16cex:dateUtc="2020-06-17T19:12:00Z"/>
  <w16cex:commentExtensible w16cex:durableId="2294FE1D" w16cex:dateUtc="2020-06-17T19:39:00Z"/>
  <w16cex:commentExtensible w16cex:durableId="2294FF69" w16cex:dateUtc="2020-06-17T19:45:00Z"/>
  <w16cex:commentExtensible w16cex:durableId="22950056" w16cex:dateUtc="2020-06-17T19:49: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0E98D5" w14:textId="77777777" w:rsidR="006C1A87" w:rsidRDefault="006C1A87" w:rsidP="008E2E2D">
      <w:r>
        <w:separator/>
      </w:r>
    </w:p>
  </w:endnote>
  <w:endnote w:type="continuationSeparator" w:id="0">
    <w:p w14:paraId="3E2A9733" w14:textId="77777777" w:rsidR="006C1A87" w:rsidRDefault="006C1A87" w:rsidP="008E2E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altName w:val="Symbol"/>
    <w:panose1 w:val="05050102010706020507"/>
    <w:charset w:val="02"/>
    <w:family w:val="decorative"/>
    <w:pitch w:val="variable"/>
    <w:sig w:usb0="00000000" w:usb1="10000000" w:usb2="00000000" w:usb3="00000000" w:csb0="80000000" w:csb1="00000000"/>
  </w:font>
  <w:font w:name="Times New Roman">
    <w:altName w:val="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Hiragino Mincho ProN W3"/>
    <w:panose1 w:val="020B0604020202020204"/>
    <w:charset w:val="00"/>
    <w:family w:val="roman"/>
    <w:pitch w:val="variable"/>
  </w:font>
  <w:font w:name="WenQuanYi Micro Hei">
    <w:panose1 w:val="020B0604020202020204"/>
    <w:charset w:val="00"/>
    <w:family w:val="roman"/>
    <w:notTrueType/>
    <w:pitch w:val="default"/>
  </w:font>
  <w:font w:name="Lohit Devanagari">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iberation Sans">
    <w:altName w:val="Arial"/>
    <w:panose1 w:val="020B0604020202020204"/>
    <w:charset w:val="00"/>
    <w:family w:val="swiss"/>
    <w:pitch w:val="variable"/>
  </w:font>
  <w:font w:name="Mangal">
    <w:panose1 w:val="02040503050203030202"/>
    <w:charset w:val="01"/>
    <w:family w:val="roman"/>
    <w:pitch w:val="variable"/>
    <w:sig w:usb0="0000A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Yu Mincho">
    <w:panose1 w:val="02020400000000000000"/>
    <w:charset w:val="80"/>
    <w:family w:val="roman"/>
    <w:pitch w:val="variable"/>
    <w:sig w:usb0="800002E7" w:usb1="2AC7FCFF" w:usb2="00000012" w:usb3="00000000" w:csb0="0002009F" w:csb1="00000000"/>
  </w:font>
  <w:font w:name="Times">
    <w:panose1 w:val="02000500000000000000"/>
    <w:charset w:val="00"/>
    <w:family w:val="auto"/>
    <w:pitch w:val="variable"/>
    <w:sig w:usb0="00000003" w:usb1="00000000" w:usb2="00000000" w:usb3="00000000" w:csb0="00000007" w:csb1="00000000"/>
  </w:font>
  <w:font w:name="Droid Sans Fallback">
    <w:altName w:val="Yu Gothic"/>
    <w:panose1 w:val="020B0604020202020204"/>
    <w:charset w:val="00"/>
    <w:family w:val="roman"/>
    <w:notTrueType/>
    <w:pitch w:val="default"/>
  </w:font>
  <w:font w:name="FreeSans">
    <w:altName w:val="Yu Gothic"/>
    <w:panose1 w:val="020B06040202020202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234695553"/>
      <w:docPartObj>
        <w:docPartGallery w:val="Page Numbers (Bottom of Page)"/>
        <w:docPartUnique/>
      </w:docPartObj>
    </w:sdtPr>
    <w:sdtEndPr>
      <w:rPr>
        <w:rStyle w:val="Numrodepage"/>
      </w:rPr>
    </w:sdtEndPr>
    <w:sdtContent>
      <w:p w14:paraId="12289C04" w14:textId="77777777" w:rsidR="00C02D64" w:rsidRDefault="00C02D64" w:rsidP="007D70F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3AF5FACD" w14:textId="77777777" w:rsidR="00C02D64" w:rsidRDefault="00C02D6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463744560"/>
      <w:docPartObj>
        <w:docPartGallery w:val="Page Numbers (Bottom of Page)"/>
        <w:docPartUnique/>
      </w:docPartObj>
    </w:sdtPr>
    <w:sdtEndPr>
      <w:rPr>
        <w:rStyle w:val="Numrodepage"/>
      </w:rPr>
    </w:sdtEndPr>
    <w:sdtContent>
      <w:p w14:paraId="5E2F0D02" w14:textId="77777777" w:rsidR="00C02D64" w:rsidRDefault="00C02D64" w:rsidP="007D70F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3</w:t>
        </w:r>
        <w:r>
          <w:rPr>
            <w:rStyle w:val="Numrodepage"/>
          </w:rPr>
          <w:fldChar w:fldCharType="end"/>
        </w:r>
      </w:p>
    </w:sdtContent>
  </w:sdt>
  <w:p w14:paraId="4E12DD51" w14:textId="77777777" w:rsidR="00C02D64" w:rsidRDefault="00C02D6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81EF30" w14:textId="77777777" w:rsidR="006C1A87" w:rsidRDefault="006C1A87" w:rsidP="008E2E2D">
      <w:r>
        <w:separator/>
      </w:r>
    </w:p>
  </w:footnote>
  <w:footnote w:type="continuationSeparator" w:id="0">
    <w:p w14:paraId="4CE5D405" w14:textId="77777777" w:rsidR="006C1A87" w:rsidRDefault="006C1A87" w:rsidP="008E2E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80449E"/>
    <w:multiLevelType w:val="multilevel"/>
    <w:tmpl w:val="4C360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E0E1828"/>
    <w:multiLevelType w:val="hybridMultilevel"/>
    <w:tmpl w:val="84AC4358"/>
    <w:lvl w:ilvl="0" w:tplc="E65E531A">
      <w:start w:val="2"/>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44860DB4"/>
    <w:multiLevelType w:val="hybridMultilevel"/>
    <w:tmpl w:val="93862982"/>
    <w:lvl w:ilvl="0" w:tplc="19D0C5D2">
      <w:start w:val="1"/>
      <w:numFmt w:val="upperLetter"/>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53E1186A"/>
    <w:multiLevelType w:val="hybridMultilevel"/>
    <w:tmpl w:val="7B142B56"/>
    <w:lvl w:ilvl="0" w:tplc="5C5A6D52">
      <w:start w:val="1"/>
      <w:numFmt w:val="decimal"/>
      <w:lvlText w:val="%1."/>
      <w:lvlJc w:val="left"/>
      <w:pPr>
        <w:ind w:left="720" w:hanging="360"/>
      </w:pPr>
      <w:rPr>
        <w:rFonts w:hint="default"/>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6"/>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097"/>
    <w:rsid w:val="00000DC6"/>
    <w:rsid w:val="00001D24"/>
    <w:rsid w:val="00021312"/>
    <w:rsid w:val="000213F9"/>
    <w:rsid w:val="00021C24"/>
    <w:rsid w:val="00022258"/>
    <w:rsid w:val="00022EBB"/>
    <w:rsid w:val="00030F9A"/>
    <w:rsid w:val="00032E9B"/>
    <w:rsid w:val="00033718"/>
    <w:rsid w:val="00036349"/>
    <w:rsid w:val="00037512"/>
    <w:rsid w:val="00037CFC"/>
    <w:rsid w:val="00041A2E"/>
    <w:rsid w:val="00042A11"/>
    <w:rsid w:val="00045601"/>
    <w:rsid w:val="00047C49"/>
    <w:rsid w:val="00050DB7"/>
    <w:rsid w:val="000559A8"/>
    <w:rsid w:val="00060666"/>
    <w:rsid w:val="00063AAE"/>
    <w:rsid w:val="00065C90"/>
    <w:rsid w:val="00066FB2"/>
    <w:rsid w:val="00070798"/>
    <w:rsid w:val="00071824"/>
    <w:rsid w:val="000723B0"/>
    <w:rsid w:val="00075B64"/>
    <w:rsid w:val="0008273D"/>
    <w:rsid w:val="0008458A"/>
    <w:rsid w:val="00090BD7"/>
    <w:rsid w:val="0009385C"/>
    <w:rsid w:val="00095182"/>
    <w:rsid w:val="000972EC"/>
    <w:rsid w:val="000A29F1"/>
    <w:rsid w:val="000B3B19"/>
    <w:rsid w:val="000B7A46"/>
    <w:rsid w:val="000D5B94"/>
    <w:rsid w:val="000D7208"/>
    <w:rsid w:val="000D725F"/>
    <w:rsid w:val="000D741C"/>
    <w:rsid w:val="000E0063"/>
    <w:rsid w:val="000E104B"/>
    <w:rsid w:val="000E117E"/>
    <w:rsid w:val="000E4A8F"/>
    <w:rsid w:val="000E4D7F"/>
    <w:rsid w:val="000E5995"/>
    <w:rsid w:val="000F2C1A"/>
    <w:rsid w:val="000F3DCB"/>
    <w:rsid w:val="000F55FB"/>
    <w:rsid w:val="00100257"/>
    <w:rsid w:val="0010232D"/>
    <w:rsid w:val="001039C0"/>
    <w:rsid w:val="0010569E"/>
    <w:rsid w:val="00114A22"/>
    <w:rsid w:val="00123CD8"/>
    <w:rsid w:val="0012448C"/>
    <w:rsid w:val="001252B1"/>
    <w:rsid w:val="0012591D"/>
    <w:rsid w:val="00126051"/>
    <w:rsid w:val="00127F17"/>
    <w:rsid w:val="00137897"/>
    <w:rsid w:val="00140740"/>
    <w:rsid w:val="001413F5"/>
    <w:rsid w:val="00146CBD"/>
    <w:rsid w:val="001477A4"/>
    <w:rsid w:val="00147974"/>
    <w:rsid w:val="00147D96"/>
    <w:rsid w:val="001509F8"/>
    <w:rsid w:val="00150CAC"/>
    <w:rsid w:val="00151491"/>
    <w:rsid w:val="00151B81"/>
    <w:rsid w:val="00154F64"/>
    <w:rsid w:val="00156C02"/>
    <w:rsid w:val="0015760B"/>
    <w:rsid w:val="00157AEA"/>
    <w:rsid w:val="001616CF"/>
    <w:rsid w:val="00163468"/>
    <w:rsid w:val="00164B02"/>
    <w:rsid w:val="00170F89"/>
    <w:rsid w:val="001713B9"/>
    <w:rsid w:val="001726B9"/>
    <w:rsid w:val="001750E2"/>
    <w:rsid w:val="00176581"/>
    <w:rsid w:val="0018201D"/>
    <w:rsid w:val="00182622"/>
    <w:rsid w:val="00182C7D"/>
    <w:rsid w:val="0018370F"/>
    <w:rsid w:val="00184A06"/>
    <w:rsid w:val="00186210"/>
    <w:rsid w:val="00186F81"/>
    <w:rsid w:val="00194756"/>
    <w:rsid w:val="0019651B"/>
    <w:rsid w:val="001A07B7"/>
    <w:rsid w:val="001A549A"/>
    <w:rsid w:val="001B3A39"/>
    <w:rsid w:val="001C0FD6"/>
    <w:rsid w:val="001C2A18"/>
    <w:rsid w:val="001C3B17"/>
    <w:rsid w:val="001C4BCE"/>
    <w:rsid w:val="001C514B"/>
    <w:rsid w:val="001C62A0"/>
    <w:rsid w:val="001D1649"/>
    <w:rsid w:val="001E53CA"/>
    <w:rsid w:val="001E573E"/>
    <w:rsid w:val="001E646D"/>
    <w:rsid w:val="001F33A2"/>
    <w:rsid w:val="001F5C1B"/>
    <w:rsid w:val="001F6FEB"/>
    <w:rsid w:val="00211E6C"/>
    <w:rsid w:val="002160F3"/>
    <w:rsid w:val="00216988"/>
    <w:rsid w:val="00220D78"/>
    <w:rsid w:val="00220D90"/>
    <w:rsid w:val="002316DE"/>
    <w:rsid w:val="002321E3"/>
    <w:rsid w:val="00236DBC"/>
    <w:rsid w:val="00237635"/>
    <w:rsid w:val="00240B0C"/>
    <w:rsid w:val="00241A0F"/>
    <w:rsid w:val="00243966"/>
    <w:rsid w:val="00243EF9"/>
    <w:rsid w:val="00245623"/>
    <w:rsid w:val="00247647"/>
    <w:rsid w:val="002509C2"/>
    <w:rsid w:val="00253E0F"/>
    <w:rsid w:val="0025460C"/>
    <w:rsid w:val="0025659F"/>
    <w:rsid w:val="0025683A"/>
    <w:rsid w:val="00260CF5"/>
    <w:rsid w:val="00261200"/>
    <w:rsid w:val="002631D7"/>
    <w:rsid w:val="00266494"/>
    <w:rsid w:val="002703A3"/>
    <w:rsid w:val="002722C0"/>
    <w:rsid w:val="00280F10"/>
    <w:rsid w:val="00281663"/>
    <w:rsid w:val="0028225E"/>
    <w:rsid w:val="002877AE"/>
    <w:rsid w:val="002950C6"/>
    <w:rsid w:val="00297357"/>
    <w:rsid w:val="002A74C9"/>
    <w:rsid w:val="002B1791"/>
    <w:rsid w:val="002B425B"/>
    <w:rsid w:val="002B565C"/>
    <w:rsid w:val="002C1C95"/>
    <w:rsid w:val="002D110F"/>
    <w:rsid w:val="002D2527"/>
    <w:rsid w:val="002D266F"/>
    <w:rsid w:val="002E3F29"/>
    <w:rsid w:val="002E41E7"/>
    <w:rsid w:val="002E770B"/>
    <w:rsid w:val="002F04DB"/>
    <w:rsid w:val="002F4032"/>
    <w:rsid w:val="002F4126"/>
    <w:rsid w:val="002F7B14"/>
    <w:rsid w:val="002F7FF8"/>
    <w:rsid w:val="00302A48"/>
    <w:rsid w:val="00305D8C"/>
    <w:rsid w:val="0030692D"/>
    <w:rsid w:val="003077D0"/>
    <w:rsid w:val="00310DDD"/>
    <w:rsid w:val="003125DA"/>
    <w:rsid w:val="00314E0A"/>
    <w:rsid w:val="00317D5F"/>
    <w:rsid w:val="00322E4D"/>
    <w:rsid w:val="00323858"/>
    <w:rsid w:val="003265CF"/>
    <w:rsid w:val="00327E8F"/>
    <w:rsid w:val="00330B70"/>
    <w:rsid w:val="00331A72"/>
    <w:rsid w:val="003344BC"/>
    <w:rsid w:val="00341577"/>
    <w:rsid w:val="0034269A"/>
    <w:rsid w:val="00345FEE"/>
    <w:rsid w:val="00347F73"/>
    <w:rsid w:val="003514B6"/>
    <w:rsid w:val="00355D5A"/>
    <w:rsid w:val="0035687C"/>
    <w:rsid w:val="00357837"/>
    <w:rsid w:val="003605BA"/>
    <w:rsid w:val="003636DE"/>
    <w:rsid w:val="00364462"/>
    <w:rsid w:val="00365AEF"/>
    <w:rsid w:val="003703A6"/>
    <w:rsid w:val="00371E37"/>
    <w:rsid w:val="00377A06"/>
    <w:rsid w:val="00382700"/>
    <w:rsid w:val="00382D7A"/>
    <w:rsid w:val="00385642"/>
    <w:rsid w:val="00385C9F"/>
    <w:rsid w:val="003871A9"/>
    <w:rsid w:val="0039095A"/>
    <w:rsid w:val="003923E4"/>
    <w:rsid w:val="003924F3"/>
    <w:rsid w:val="003942A9"/>
    <w:rsid w:val="0039677B"/>
    <w:rsid w:val="003A0758"/>
    <w:rsid w:val="003A5A51"/>
    <w:rsid w:val="003A5EE1"/>
    <w:rsid w:val="003A677F"/>
    <w:rsid w:val="003A6874"/>
    <w:rsid w:val="003B01CF"/>
    <w:rsid w:val="003B2EB5"/>
    <w:rsid w:val="003B3874"/>
    <w:rsid w:val="003B479D"/>
    <w:rsid w:val="003B589F"/>
    <w:rsid w:val="003B6075"/>
    <w:rsid w:val="003C275F"/>
    <w:rsid w:val="003C27AC"/>
    <w:rsid w:val="003C3A93"/>
    <w:rsid w:val="003D2A06"/>
    <w:rsid w:val="003D3895"/>
    <w:rsid w:val="003D7A39"/>
    <w:rsid w:val="003E4521"/>
    <w:rsid w:val="003E5861"/>
    <w:rsid w:val="003E6C60"/>
    <w:rsid w:val="00400648"/>
    <w:rsid w:val="004024EC"/>
    <w:rsid w:val="004028FE"/>
    <w:rsid w:val="0040433E"/>
    <w:rsid w:val="00404AA6"/>
    <w:rsid w:val="004056AF"/>
    <w:rsid w:val="004059CB"/>
    <w:rsid w:val="00405A33"/>
    <w:rsid w:val="0040637F"/>
    <w:rsid w:val="00406BD4"/>
    <w:rsid w:val="00410617"/>
    <w:rsid w:val="0041076E"/>
    <w:rsid w:val="00410EDA"/>
    <w:rsid w:val="00415AB5"/>
    <w:rsid w:val="0042211B"/>
    <w:rsid w:val="004222A9"/>
    <w:rsid w:val="00422812"/>
    <w:rsid w:val="00424B63"/>
    <w:rsid w:val="00425B57"/>
    <w:rsid w:val="00425B8F"/>
    <w:rsid w:val="00427FDB"/>
    <w:rsid w:val="004307B0"/>
    <w:rsid w:val="0043100A"/>
    <w:rsid w:val="00432627"/>
    <w:rsid w:val="00433FAA"/>
    <w:rsid w:val="00434FD6"/>
    <w:rsid w:val="0043578A"/>
    <w:rsid w:val="00435F61"/>
    <w:rsid w:val="00437668"/>
    <w:rsid w:val="00437FC6"/>
    <w:rsid w:val="004423DE"/>
    <w:rsid w:val="00444CA5"/>
    <w:rsid w:val="00445E56"/>
    <w:rsid w:val="00446740"/>
    <w:rsid w:val="0045177B"/>
    <w:rsid w:val="0045357E"/>
    <w:rsid w:val="0045452C"/>
    <w:rsid w:val="00455197"/>
    <w:rsid w:val="00460865"/>
    <w:rsid w:val="00461333"/>
    <w:rsid w:val="0046134F"/>
    <w:rsid w:val="00471566"/>
    <w:rsid w:val="00472EFB"/>
    <w:rsid w:val="00477D6F"/>
    <w:rsid w:val="00480FCD"/>
    <w:rsid w:val="00482073"/>
    <w:rsid w:val="00490D6E"/>
    <w:rsid w:val="00491866"/>
    <w:rsid w:val="00492CD9"/>
    <w:rsid w:val="0049483F"/>
    <w:rsid w:val="00495D31"/>
    <w:rsid w:val="00496AB5"/>
    <w:rsid w:val="004A1E9A"/>
    <w:rsid w:val="004A3074"/>
    <w:rsid w:val="004A36AB"/>
    <w:rsid w:val="004A7A70"/>
    <w:rsid w:val="004B30E7"/>
    <w:rsid w:val="004B5D13"/>
    <w:rsid w:val="004B7341"/>
    <w:rsid w:val="004C2D0A"/>
    <w:rsid w:val="004C3798"/>
    <w:rsid w:val="004C4646"/>
    <w:rsid w:val="004C60F5"/>
    <w:rsid w:val="004C6C66"/>
    <w:rsid w:val="004D3E34"/>
    <w:rsid w:val="004D6B3C"/>
    <w:rsid w:val="004D6E26"/>
    <w:rsid w:val="004E014A"/>
    <w:rsid w:val="004E45FE"/>
    <w:rsid w:val="004E57AC"/>
    <w:rsid w:val="004E7164"/>
    <w:rsid w:val="004F0F00"/>
    <w:rsid w:val="004F103E"/>
    <w:rsid w:val="004F2AE4"/>
    <w:rsid w:val="004F3638"/>
    <w:rsid w:val="00500E20"/>
    <w:rsid w:val="0050178F"/>
    <w:rsid w:val="00501909"/>
    <w:rsid w:val="005025BD"/>
    <w:rsid w:val="00502B5D"/>
    <w:rsid w:val="00504D9E"/>
    <w:rsid w:val="00506F12"/>
    <w:rsid w:val="005074A6"/>
    <w:rsid w:val="005108F6"/>
    <w:rsid w:val="00511A18"/>
    <w:rsid w:val="00512FB6"/>
    <w:rsid w:val="00517DC8"/>
    <w:rsid w:val="005210CE"/>
    <w:rsid w:val="0052268A"/>
    <w:rsid w:val="00524133"/>
    <w:rsid w:val="00530381"/>
    <w:rsid w:val="00530716"/>
    <w:rsid w:val="005311D7"/>
    <w:rsid w:val="00532195"/>
    <w:rsid w:val="005321EB"/>
    <w:rsid w:val="00532B01"/>
    <w:rsid w:val="00534848"/>
    <w:rsid w:val="00540B81"/>
    <w:rsid w:val="00544F8A"/>
    <w:rsid w:val="00546ACD"/>
    <w:rsid w:val="005477D5"/>
    <w:rsid w:val="00550662"/>
    <w:rsid w:val="00554382"/>
    <w:rsid w:val="00554687"/>
    <w:rsid w:val="0055578F"/>
    <w:rsid w:val="00556362"/>
    <w:rsid w:val="00556CE7"/>
    <w:rsid w:val="00561271"/>
    <w:rsid w:val="00562E4D"/>
    <w:rsid w:val="005658E8"/>
    <w:rsid w:val="00565D96"/>
    <w:rsid w:val="005720F8"/>
    <w:rsid w:val="005725CA"/>
    <w:rsid w:val="0057609A"/>
    <w:rsid w:val="00577009"/>
    <w:rsid w:val="005777D0"/>
    <w:rsid w:val="00582EA6"/>
    <w:rsid w:val="005833DB"/>
    <w:rsid w:val="00586EB5"/>
    <w:rsid w:val="0059336B"/>
    <w:rsid w:val="00594D79"/>
    <w:rsid w:val="005957B5"/>
    <w:rsid w:val="005A45A9"/>
    <w:rsid w:val="005A68B4"/>
    <w:rsid w:val="005A6D2C"/>
    <w:rsid w:val="005A731B"/>
    <w:rsid w:val="005B0A47"/>
    <w:rsid w:val="005B6933"/>
    <w:rsid w:val="005B7726"/>
    <w:rsid w:val="005C1A17"/>
    <w:rsid w:val="005C1F44"/>
    <w:rsid w:val="005C259F"/>
    <w:rsid w:val="005C354A"/>
    <w:rsid w:val="005C71F7"/>
    <w:rsid w:val="005C7760"/>
    <w:rsid w:val="005D075D"/>
    <w:rsid w:val="005D6683"/>
    <w:rsid w:val="005D6C44"/>
    <w:rsid w:val="005D6EF8"/>
    <w:rsid w:val="005D7EC8"/>
    <w:rsid w:val="005E2C13"/>
    <w:rsid w:val="005E2CFE"/>
    <w:rsid w:val="005E3707"/>
    <w:rsid w:val="005E3D43"/>
    <w:rsid w:val="005E3EA6"/>
    <w:rsid w:val="005E70A5"/>
    <w:rsid w:val="005F1454"/>
    <w:rsid w:val="005F52D6"/>
    <w:rsid w:val="00600ED6"/>
    <w:rsid w:val="00601741"/>
    <w:rsid w:val="00601BCE"/>
    <w:rsid w:val="00602F85"/>
    <w:rsid w:val="00603709"/>
    <w:rsid w:val="0060417F"/>
    <w:rsid w:val="00604455"/>
    <w:rsid w:val="00604BA1"/>
    <w:rsid w:val="00604BF5"/>
    <w:rsid w:val="00604FAF"/>
    <w:rsid w:val="0061461C"/>
    <w:rsid w:val="006152F0"/>
    <w:rsid w:val="00617701"/>
    <w:rsid w:val="006209EF"/>
    <w:rsid w:val="00622954"/>
    <w:rsid w:val="006263EA"/>
    <w:rsid w:val="0062782D"/>
    <w:rsid w:val="00631809"/>
    <w:rsid w:val="00631FCB"/>
    <w:rsid w:val="00635C03"/>
    <w:rsid w:val="00636601"/>
    <w:rsid w:val="00636975"/>
    <w:rsid w:val="006405FD"/>
    <w:rsid w:val="00643F42"/>
    <w:rsid w:val="0064439C"/>
    <w:rsid w:val="006456D7"/>
    <w:rsid w:val="006469B9"/>
    <w:rsid w:val="00647294"/>
    <w:rsid w:val="00651E79"/>
    <w:rsid w:val="00664850"/>
    <w:rsid w:val="00664F52"/>
    <w:rsid w:val="0066730C"/>
    <w:rsid w:val="00671E2C"/>
    <w:rsid w:val="00674483"/>
    <w:rsid w:val="006747E5"/>
    <w:rsid w:val="0067626C"/>
    <w:rsid w:val="00677E47"/>
    <w:rsid w:val="00681847"/>
    <w:rsid w:val="00683DDC"/>
    <w:rsid w:val="0068459B"/>
    <w:rsid w:val="0069000C"/>
    <w:rsid w:val="0069250E"/>
    <w:rsid w:val="006935D2"/>
    <w:rsid w:val="00693DF9"/>
    <w:rsid w:val="0069547E"/>
    <w:rsid w:val="006958D2"/>
    <w:rsid w:val="006A0482"/>
    <w:rsid w:val="006A50C8"/>
    <w:rsid w:val="006A6814"/>
    <w:rsid w:val="006B0F2A"/>
    <w:rsid w:val="006B26D7"/>
    <w:rsid w:val="006B3216"/>
    <w:rsid w:val="006B3870"/>
    <w:rsid w:val="006B49E9"/>
    <w:rsid w:val="006B4F23"/>
    <w:rsid w:val="006B5E60"/>
    <w:rsid w:val="006C02E7"/>
    <w:rsid w:val="006C1A87"/>
    <w:rsid w:val="006C22D3"/>
    <w:rsid w:val="006C3F8E"/>
    <w:rsid w:val="006C43E0"/>
    <w:rsid w:val="006C441E"/>
    <w:rsid w:val="006C5AD2"/>
    <w:rsid w:val="006D1836"/>
    <w:rsid w:val="006D35C2"/>
    <w:rsid w:val="006D5CE1"/>
    <w:rsid w:val="006D7F6A"/>
    <w:rsid w:val="006E1CA9"/>
    <w:rsid w:val="006E2D0D"/>
    <w:rsid w:val="006E5551"/>
    <w:rsid w:val="006E7002"/>
    <w:rsid w:val="006E77E9"/>
    <w:rsid w:val="006F04CC"/>
    <w:rsid w:val="006F5E00"/>
    <w:rsid w:val="006F6ECA"/>
    <w:rsid w:val="006F6F2F"/>
    <w:rsid w:val="006F744B"/>
    <w:rsid w:val="00700B24"/>
    <w:rsid w:val="00706DB3"/>
    <w:rsid w:val="007113A7"/>
    <w:rsid w:val="00714946"/>
    <w:rsid w:val="00715A61"/>
    <w:rsid w:val="00715C8C"/>
    <w:rsid w:val="00716474"/>
    <w:rsid w:val="007177D8"/>
    <w:rsid w:val="0072078E"/>
    <w:rsid w:val="007229D7"/>
    <w:rsid w:val="00732B55"/>
    <w:rsid w:val="00735A99"/>
    <w:rsid w:val="00744068"/>
    <w:rsid w:val="00746872"/>
    <w:rsid w:val="00754018"/>
    <w:rsid w:val="00755F19"/>
    <w:rsid w:val="00757B23"/>
    <w:rsid w:val="00760701"/>
    <w:rsid w:val="0076073B"/>
    <w:rsid w:val="007659EB"/>
    <w:rsid w:val="00765BC3"/>
    <w:rsid w:val="00767CC7"/>
    <w:rsid w:val="007708CB"/>
    <w:rsid w:val="007714C4"/>
    <w:rsid w:val="00772FE2"/>
    <w:rsid w:val="00775339"/>
    <w:rsid w:val="00776688"/>
    <w:rsid w:val="00780D8A"/>
    <w:rsid w:val="007856C1"/>
    <w:rsid w:val="007874C3"/>
    <w:rsid w:val="00787798"/>
    <w:rsid w:val="00787C76"/>
    <w:rsid w:val="00791BEB"/>
    <w:rsid w:val="0079288E"/>
    <w:rsid w:val="00795E00"/>
    <w:rsid w:val="0079682A"/>
    <w:rsid w:val="00797E7A"/>
    <w:rsid w:val="007A215A"/>
    <w:rsid w:val="007A318F"/>
    <w:rsid w:val="007A3B44"/>
    <w:rsid w:val="007A5068"/>
    <w:rsid w:val="007A5C29"/>
    <w:rsid w:val="007A61D5"/>
    <w:rsid w:val="007B1D35"/>
    <w:rsid w:val="007B5FE9"/>
    <w:rsid w:val="007B6D9A"/>
    <w:rsid w:val="007B6F4F"/>
    <w:rsid w:val="007B75E5"/>
    <w:rsid w:val="007B776A"/>
    <w:rsid w:val="007B77E9"/>
    <w:rsid w:val="007C10C1"/>
    <w:rsid w:val="007C45A3"/>
    <w:rsid w:val="007D0357"/>
    <w:rsid w:val="007D21B9"/>
    <w:rsid w:val="007D2214"/>
    <w:rsid w:val="007D2BA6"/>
    <w:rsid w:val="007D68F9"/>
    <w:rsid w:val="007D70F3"/>
    <w:rsid w:val="007D7B46"/>
    <w:rsid w:val="007E131E"/>
    <w:rsid w:val="007E1E16"/>
    <w:rsid w:val="007E52E0"/>
    <w:rsid w:val="007E5E1D"/>
    <w:rsid w:val="007F0194"/>
    <w:rsid w:val="007F0C49"/>
    <w:rsid w:val="007F1F17"/>
    <w:rsid w:val="007F26F2"/>
    <w:rsid w:val="007F3C71"/>
    <w:rsid w:val="007F4FCE"/>
    <w:rsid w:val="007F51D6"/>
    <w:rsid w:val="007F5614"/>
    <w:rsid w:val="00802A3F"/>
    <w:rsid w:val="008049DC"/>
    <w:rsid w:val="008109E3"/>
    <w:rsid w:val="00814C06"/>
    <w:rsid w:val="00814D31"/>
    <w:rsid w:val="00815493"/>
    <w:rsid w:val="00817DF3"/>
    <w:rsid w:val="00822079"/>
    <w:rsid w:val="00824719"/>
    <w:rsid w:val="00824EC5"/>
    <w:rsid w:val="00826EED"/>
    <w:rsid w:val="00827CF4"/>
    <w:rsid w:val="008306AC"/>
    <w:rsid w:val="008307CE"/>
    <w:rsid w:val="008325CD"/>
    <w:rsid w:val="00832A4E"/>
    <w:rsid w:val="0083381F"/>
    <w:rsid w:val="00835E18"/>
    <w:rsid w:val="0083676A"/>
    <w:rsid w:val="008372F9"/>
    <w:rsid w:val="0084048B"/>
    <w:rsid w:val="008409D0"/>
    <w:rsid w:val="00844101"/>
    <w:rsid w:val="008450BF"/>
    <w:rsid w:val="00845B0E"/>
    <w:rsid w:val="00845F4A"/>
    <w:rsid w:val="00850878"/>
    <w:rsid w:val="0085159A"/>
    <w:rsid w:val="008531ED"/>
    <w:rsid w:val="0085423C"/>
    <w:rsid w:val="00854D99"/>
    <w:rsid w:val="00855CED"/>
    <w:rsid w:val="00856758"/>
    <w:rsid w:val="00857D0F"/>
    <w:rsid w:val="008679E7"/>
    <w:rsid w:val="00870600"/>
    <w:rsid w:val="00875709"/>
    <w:rsid w:val="00877C98"/>
    <w:rsid w:val="0088009D"/>
    <w:rsid w:val="00881313"/>
    <w:rsid w:val="0088546F"/>
    <w:rsid w:val="008870F7"/>
    <w:rsid w:val="00893962"/>
    <w:rsid w:val="00893DD1"/>
    <w:rsid w:val="008A3D1A"/>
    <w:rsid w:val="008A4489"/>
    <w:rsid w:val="008A5A85"/>
    <w:rsid w:val="008A6111"/>
    <w:rsid w:val="008A6AC8"/>
    <w:rsid w:val="008A6E6C"/>
    <w:rsid w:val="008A7102"/>
    <w:rsid w:val="008B1A10"/>
    <w:rsid w:val="008B1CB2"/>
    <w:rsid w:val="008B1EB4"/>
    <w:rsid w:val="008B2975"/>
    <w:rsid w:val="008B67DE"/>
    <w:rsid w:val="008B7B01"/>
    <w:rsid w:val="008D5904"/>
    <w:rsid w:val="008E1AB7"/>
    <w:rsid w:val="008E2E2D"/>
    <w:rsid w:val="008E3455"/>
    <w:rsid w:val="008E5D6D"/>
    <w:rsid w:val="008E5E50"/>
    <w:rsid w:val="008F082B"/>
    <w:rsid w:val="008F09F5"/>
    <w:rsid w:val="008F2472"/>
    <w:rsid w:val="008F5A05"/>
    <w:rsid w:val="008F5ABA"/>
    <w:rsid w:val="008F6F2B"/>
    <w:rsid w:val="008F7F6A"/>
    <w:rsid w:val="009010DC"/>
    <w:rsid w:val="00910269"/>
    <w:rsid w:val="00914363"/>
    <w:rsid w:val="0091527E"/>
    <w:rsid w:val="00917B46"/>
    <w:rsid w:val="00917E1D"/>
    <w:rsid w:val="009253C0"/>
    <w:rsid w:val="00925F50"/>
    <w:rsid w:val="00927CBB"/>
    <w:rsid w:val="009306C8"/>
    <w:rsid w:val="0093323D"/>
    <w:rsid w:val="009355DA"/>
    <w:rsid w:val="009374D2"/>
    <w:rsid w:val="0093755F"/>
    <w:rsid w:val="0093778E"/>
    <w:rsid w:val="0094133A"/>
    <w:rsid w:val="00942012"/>
    <w:rsid w:val="0094485E"/>
    <w:rsid w:val="00944BB2"/>
    <w:rsid w:val="00946E6D"/>
    <w:rsid w:val="009507F1"/>
    <w:rsid w:val="009515E3"/>
    <w:rsid w:val="00953B8A"/>
    <w:rsid w:val="00961752"/>
    <w:rsid w:val="00963499"/>
    <w:rsid w:val="00966A55"/>
    <w:rsid w:val="00966CBF"/>
    <w:rsid w:val="00971C72"/>
    <w:rsid w:val="009724E2"/>
    <w:rsid w:val="009750C7"/>
    <w:rsid w:val="00976818"/>
    <w:rsid w:val="00976832"/>
    <w:rsid w:val="00976E47"/>
    <w:rsid w:val="00977615"/>
    <w:rsid w:val="009800F8"/>
    <w:rsid w:val="00980E69"/>
    <w:rsid w:val="009815DB"/>
    <w:rsid w:val="00983AE0"/>
    <w:rsid w:val="00992D4D"/>
    <w:rsid w:val="00992FEC"/>
    <w:rsid w:val="00994C17"/>
    <w:rsid w:val="00997369"/>
    <w:rsid w:val="0099768A"/>
    <w:rsid w:val="00997B71"/>
    <w:rsid w:val="00997D28"/>
    <w:rsid w:val="009A26D5"/>
    <w:rsid w:val="009A3793"/>
    <w:rsid w:val="009A5670"/>
    <w:rsid w:val="009A7EFE"/>
    <w:rsid w:val="009B3F2A"/>
    <w:rsid w:val="009B549C"/>
    <w:rsid w:val="009B7D6B"/>
    <w:rsid w:val="009C18D5"/>
    <w:rsid w:val="009C375D"/>
    <w:rsid w:val="009C7746"/>
    <w:rsid w:val="009C7779"/>
    <w:rsid w:val="009D0E84"/>
    <w:rsid w:val="009D6FC8"/>
    <w:rsid w:val="009D70AB"/>
    <w:rsid w:val="009E2B79"/>
    <w:rsid w:val="009F2A0B"/>
    <w:rsid w:val="009F4A1A"/>
    <w:rsid w:val="009F59D4"/>
    <w:rsid w:val="009F5CF9"/>
    <w:rsid w:val="009F6519"/>
    <w:rsid w:val="00A019F2"/>
    <w:rsid w:val="00A030DA"/>
    <w:rsid w:val="00A03DB7"/>
    <w:rsid w:val="00A04879"/>
    <w:rsid w:val="00A1249A"/>
    <w:rsid w:val="00A12C04"/>
    <w:rsid w:val="00A12E20"/>
    <w:rsid w:val="00A13841"/>
    <w:rsid w:val="00A14520"/>
    <w:rsid w:val="00A2136A"/>
    <w:rsid w:val="00A25A3A"/>
    <w:rsid w:val="00A26234"/>
    <w:rsid w:val="00A267E0"/>
    <w:rsid w:val="00A304EC"/>
    <w:rsid w:val="00A306E8"/>
    <w:rsid w:val="00A30EC1"/>
    <w:rsid w:val="00A31E66"/>
    <w:rsid w:val="00A32BE8"/>
    <w:rsid w:val="00A32DD3"/>
    <w:rsid w:val="00A37CF7"/>
    <w:rsid w:val="00A4385E"/>
    <w:rsid w:val="00A43B70"/>
    <w:rsid w:val="00A441FF"/>
    <w:rsid w:val="00A46132"/>
    <w:rsid w:val="00A47BFA"/>
    <w:rsid w:val="00A47CED"/>
    <w:rsid w:val="00A508E4"/>
    <w:rsid w:val="00A53D20"/>
    <w:rsid w:val="00A56624"/>
    <w:rsid w:val="00A669D0"/>
    <w:rsid w:val="00A707AD"/>
    <w:rsid w:val="00A729BC"/>
    <w:rsid w:val="00A8194A"/>
    <w:rsid w:val="00A82C8E"/>
    <w:rsid w:val="00A84909"/>
    <w:rsid w:val="00A86E6B"/>
    <w:rsid w:val="00A90562"/>
    <w:rsid w:val="00A91688"/>
    <w:rsid w:val="00A91BA0"/>
    <w:rsid w:val="00A91C71"/>
    <w:rsid w:val="00A930E0"/>
    <w:rsid w:val="00A94233"/>
    <w:rsid w:val="00A954A6"/>
    <w:rsid w:val="00A95B6B"/>
    <w:rsid w:val="00AA40C6"/>
    <w:rsid w:val="00AA7676"/>
    <w:rsid w:val="00AB0DF8"/>
    <w:rsid w:val="00AB35C8"/>
    <w:rsid w:val="00AB39EB"/>
    <w:rsid w:val="00AB774B"/>
    <w:rsid w:val="00AC156A"/>
    <w:rsid w:val="00AC36CF"/>
    <w:rsid w:val="00AC7306"/>
    <w:rsid w:val="00AC7519"/>
    <w:rsid w:val="00AD39B7"/>
    <w:rsid w:val="00AD3A2C"/>
    <w:rsid w:val="00AD3ED3"/>
    <w:rsid w:val="00AD51B8"/>
    <w:rsid w:val="00AD568B"/>
    <w:rsid w:val="00AD69EC"/>
    <w:rsid w:val="00AD7502"/>
    <w:rsid w:val="00AE12CA"/>
    <w:rsid w:val="00AE35F2"/>
    <w:rsid w:val="00AE5C8C"/>
    <w:rsid w:val="00AE6BA8"/>
    <w:rsid w:val="00AF40FF"/>
    <w:rsid w:val="00AF41A5"/>
    <w:rsid w:val="00AF4E95"/>
    <w:rsid w:val="00AF6291"/>
    <w:rsid w:val="00B0286C"/>
    <w:rsid w:val="00B050C1"/>
    <w:rsid w:val="00B07B51"/>
    <w:rsid w:val="00B10159"/>
    <w:rsid w:val="00B11B41"/>
    <w:rsid w:val="00B13429"/>
    <w:rsid w:val="00B13A55"/>
    <w:rsid w:val="00B147D2"/>
    <w:rsid w:val="00B209D4"/>
    <w:rsid w:val="00B21A47"/>
    <w:rsid w:val="00B235B8"/>
    <w:rsid w:val="00B23637"/>
    <w:rsid w:val="00B25B7F"/>
    <w:rsid w:val="00B27840"/>
    <w:rsid w:val="00B316D2"/>
    <w:rsid w:val="00B32646"/>
    <w:rsid w:val="00B34803"/>
    <w:rsid w:val="00B3495D"/>
    <w:rsid w:val="00B3693D"/>
    <w:rsid w:val="00B3786B"/>
    <w:rsid w:val="00B4265B"/>
    <w:rsid w:val="00B44B14"/>
    <w:rsid w:val="00B452DD"/>
    <w:rsid w:val="00B515A4"/>
    <w:rsid w:val="00B515F3"/>
    <w:rsid w:val="00B5191C"/>
    <w:rsid w:val="00B53539"/>
    <w:rsid w:val="00B55393"/>
    <w:rsid w:val="00B62072"/>
    <w:rsid w:val="00B64B8C"/>
    <w:rsid w:val="00B651FE"/>
    <w:rsid w:val="00B7108A"/>
    <w:rsid w:val="00B747B9"/>
    <w:rsid w:val="00B76884"/>
    <w:rsid w:val="00B8344B"/>
    <w:rsid w:val="00B83F7D"/>
    <w:rsid w:val="00B860E7"/>
    <w:rsid w:val="00B93B35"/>
    <w:rsid w:val="00B9485A"/>
    <w:rsid w:val="00BA0D97"/>
    <w:rsid w:val="00BA0E93"/>
    <w:rsid w:val="00BA10DD"/>
    <w:rsid w:val="00BA237E"/>
    <w:rsid w:val="00BA41DA"/>
    <w:rsid w:val="00BA5B4B"/>
    <w:rsid w:val="00BA63E2"/>
    <w:rsid w:val="00BA677E"/>
    <w:rsid w:val="00BA76C6"/>
    <w:rsid w:val="00BB2001"/>
    <w:rsid w:val="00BB2BA4"/>
    <w:rsid w:val="00BB548C"/>
    <w:rsid w:val="00BB6BB3"/>
    <w:rsid w:val="00BC250D"/>
    <w:rsid w:val="00BC4297"/>
    <w:rsid w:val="00BD4EE1"/>
    <w:rsid w:val="00BD64B8"/>
    <w:rsid w:val="00BD6A6D"/>
    <w:rsid w:val="00BE1B6D"/>
    <w:rsid w:val="00BE2AFB"/>
    <w:rsid w:val="00BE2DC0"/>
    <w:rsid w:val="00BE3609"/>
    <w:rsid w:val="00BE3655"/>
    <w:rsid w:val="00BE53A4"/>
    <w:rsid w:val="00BE618C"/>
    <w:rsid w:val="00BE7097"/>
    <w:rsid w:val="00BE7D82"/>
    <w:rsid w:val="00BF06BA"/>
    <w:rsid w:val="00BF16A4"/>
    <w:rsid w:val="00C00292"/>
    <w:rsid w:val="00C02BB5"/>
    <w:rsid w:val="00C02D64"/>
    <w:rsid w:val="00C0516F"/>
    <w:rsid w:val="00C070CB"/>
    <w:rsid w:val="00C1199D"/>
    <w:rsid w:val="00C141C4"/>
    <w:rsid w:val="00C15A82"/>
    <w:rsid w:val="00C16E9E"/>
    <w:rsid w:val="00C234B1"/>
    <w:rsid w:val="00C25A60"/>
    <w:rsid w:val="00C26FC8"/>
    <w:rsid w:val="00C272B3"/>
    <w:rsid w:val="00C27343"/>
    <w:rsid w:val="00C317B1"/>
    <w:rsid w:val="00C40821"/>
    <w:rsid w:val="00C4139C"/>
    <w:rsid w:val="00C4236E"/>
    <w:rsid w:val="00C4572B"/>
    <w:rsid w:val="00C50731"/>
    <w:rsid w:val="00C51BD3"/>
    <w:rsid w:val="00C535C9"/>
    <w:rsid w:val="00C5500E"/>
    <w:rsid w:val="00C56BEB"/>
    <w:rsid w:val="00C57464"/>
    <w:rsid w:val="00C632B5"/>
    <w:rsid w:val="00C63D13"/>
    <w:rsid w:val="00C71264"/>
    <w:rsid w:val="00C734AB"/>
    <w:rsid w:val="00C76753"/>
    <w:rsid w:val="00C767DF"/>
    <w:rsid w:val="00C76A49"/>
    <w:rsid w:val="00C76B67"/>
    <w:rsid w:val="00C77C1B"/>
    <w:rsid w:val="00C80345"/>
    <w:rsid w:val="00C81BE1"/>
    <w:rsid w:val="00C857BF"/>
    <w:rsid w:val="00C87D88"/>
    <w:rsid w:val="00C907F1"/>
    <w:rsid w:val="00C9237B"/>
    <w:rsid w:val="00C92409"/>
    <w:rsid w:val="00C9619C"/>
    <w:rsid w:val="00C972A5"/>
    <w:rsid w:val="00CA0F29"/>
    <w:rsid w:val="00CA1F1F"/>
    <w:rsid w:val="00CA2E7D"/>
    <w:rsid w:val="00CA7C7B"/>
    <w:rsid w:val="00CB0999"/>
    <w:rsid w:val="00CB1640"/>
    <w:rsid w:val="00CB1C3F"/>
    <w:rsid w:val="00CB5F35"/>
    <w:rsid w:val="00CC2978"/>
    <w:rsid w:val="00CC679C"/>
    <w:rsid w:val="00CD3B5E"/>
    <w:rsid w:val="00CD6019"/>
    <w:rsid w:val="00CE2C05"/>
    <w:rsid w:val="00CE2E67"/>
    <w:rsid w:val="00CF318A"/>
    <w:rsid w:val="00CF32E6"/>
    <w:rsid w:val="00CF54DB"/>
    <w:rsid w:val="00CF73B5"/>
    <w:rsid w:val="00D006B0"/>
    <w:rsid w:val="00D01202"/>
    <w:rsid w:val="00D01222"/>
    <w:rsid w:val="00D0306F"/>
    <w:rsid w:val="00D030F2"/>
    <w:rsid w:val="00D03BB9"/>
    <w:rsid w:val="00D06333"/>
    <w:rsid w:val="00D110F8"/>
    <w:rsid w:val="00D11676"/>
    <w:rsid w:val="00D26651"/>
    <w:rsid w:val="00D277FE"/>
    <w:rsid w:val="00D32A81"/>
    <w:rsid w:val="00D412BF"/>
    <w:rsid w:val="00D432EA"/>
    <w:rsid w:val="00D447A2"/>
    <w:rsid w:val="00D47EC7"/>
    <w:rsid w:val="00D50E87"/>
    <w:rsid w:val="00D529A9"/>
    <w:rsid w:val="00D52CDE"/>
    <w:rsid w:val="00D5498C"/>
    <w:rsid w:val="00D55A6C"/>
    <w:rsid w:val="00D566BF"/>
    <w:rsid w:val="00D57622"/>
    <w:rsid w:val="00D6626B"/>
    <w:rsid w:val="00D73BEA"/>
    <w:rsid w:val="00D774F8"/>
    <w:rsid w:val="00D7791D"/>
    <w:rsid w:val="00D80B1F"/>
    <w:rsid w:val="00D8154C"/>
    <w:rsid w:val="00D816B2"/>
    <w:rsid w:val="00D84AF9"/>
    <w:rsid w:val="00D87B39"/>
    <w:rsid w:val="00D87F75"/>
    <w:rsid w:val="00D90976"/>
    <w:rsid w:val="00D94F9F"/>
    <w:rsid w:val="00DA0C81"/>
    <w:rsid w:val="00DA39F4"/>
    <w:rsid w:val="00DA4DCE"/>
    <w:rsid w:val="00DB0BFC"/>
    <w:rsid w:val="00DB51B0"/>
    <w:rsid w:val="00DB55B6"/>
    <w:rsid w:val="00DB67D4"/>
    <w:rsid w:val="00DE2058"/>
    <w:rsid w:val="00DE2BDA"/>
    <w:rsid w:val="00DE4EE0"/>
    <w:rsid w:val="00DE6259"/>
    <w:rsid w:val="00DF0549"/>
    <w:rsid w:val="00DF1FC6"/>
    <w:rsid w:val="00DF46B5"/>
    <w:rsid w:val="00DF46F3"/>
    <w:rsid w:val="00DF6C86"/>
    <w:rsid w:val="00DF6F24"/>
    <w:rsid w:val="00E004A8"/>
    <w:rsid w:val="00E017E1"/>
    <w:rsid w:val="00E0393F"/>
    <w:rsid w:val="00E04962"/>
    <w:rsid w:val="00E053CA"/>
    <w:rsid w:val="00E07386"/>
    <w:rsid w:val="00E10E86"/>
    <w:rsid w:val="00E12FFB"/>
    <w:rsid w:val="00E1431C"/>
    <w:rsid w:val="00E14CE6"/>
    <w:rsid w:val="00E2217F"/>
    <w:rsid w:val="00E30D53"/>
    <w:rsid w:val="00E311D7"/>
    <w:rsid w:val="00E331E8"/>
    <w:rsid w:val="00E34596"/>
    <w:rsid w:val="00E34652"/>
    <w:rsid w:val="00E36F8D"/>
    <w:rsid w:val="00E4081C"/>
    <w:rsid w:val="00E4309D"/>
    <w:rsid w:val="00E44A13"/>
    <w:rsid w:val="00E4552E"/>
    <w:rsid w:val="00E47D8A"/>
    <w:rsid w:val="00E47D9F"/>
    <w:rsid w:val="00E5646C"/>
    <w:rsid w:val="00E5679B"/>
    <w:rsid w:val="00E60897"/>
    <w:rsid w:val="00E6393A"/>
    <w:rsid w:val="00E66906"/>
    <w:rsid w:val="00E6710E"/>
    <w:rsid w:val="00E673C3"/>
    <w:rsid w:val="00E701D6"/>
    <w:rsid w:val="00E71155"/>
    <w:rsid w:val="00E731E2"/>
    <w:rsid w:val="00E738C5"/>
    <w:rsid w:val="00E779C2"/>
    <w:rsid w:val="00E859C8"/>
    <w:rsid w:val="00E900EB"/>
    <w:rsid w:val="00E93268"/>
    <w:rsid w:val="00EA2D3F"/>
    <w:rsid w:val="00EB16AC"/>
    <w:rsid w:val="00EC0881"/>
    <w:rsid w:val="00EC18E6"/>
    <w:rsid w:val="00EC3749"/>
    <w:rsid w:val="00EC5DFF"/>
    <w:rsid w:val="00ED1749"/>
    <w:rsid w:val="00ED2AE9"/>
    <w:rsid w:val="00ED3DCB"/>
    <w:rsid w:val="00ED4A37"/>
    <w:rsid w:val="00EE0BBB"/>
    <w:rsid w:val="00EE246B"/>
    <w:rsid w:val="00EE4C7C"/>
    <w:rsid w:val="00EE520D"/>
    <w:rsid w:val="00EE5D7E"/>
    <w:rsid w:val="00EF0A75"/>
    <w:rsid w:val="00EF0D7A"/>
    <w:rsid w:val="00EF37B1"/>
    <w:rsid w:val="00EF395C"/>
    <w:rsid w:val="00EF7EC3"/>
    <w:rsid w:val="00F00F35"/>
    <w:rsid w:val="00F022A3"/>
    <w:rsid w:val="00F02D47"/>
    <w:rsid w:val="00F03394"/>
    <w:rsid w:val="00F042D6"/>
    <w:rsid w:val="00F0619A"/>
    <w:rsid w:val="00F06856"/>
    <w:rsid w:val="00F076F2"/>
    <w:rsid w:val="00F14DB8"/>
    <w:rsid w:val="00F1582E"/>
    <w:rsid w:val="00F20715"/>
    <w:rsid w:val="00F20B5C"/>
    <w:rsid w:val="00F21D56"/>
    <w:rsid w:val="00F238E0"/>
    <w:rsid w:val="00F26D63"/>
    <w:rsid w:val="00F26FAB"/>
    <w:rsid w:val="00F31381"/>
    <w:rsid w:val="00F31B47"/>
    <w:rsid w:val="00F3244A"/>
    <w:rsid w:val="00F32B75"/>
    <w:rsid w:val="00F36140"/>
    <w:rsid w:val="00F372AA"/>
    <w:rsid w:val="00F41741"/>
    <w:rsid w:val="00F45102"/>
    <w:rsid w:val="00F45866"/>
    <w:rsid w:val="00F45CFA"/>
    <w:rsid w:val="00F473E5"/>
    <w:rsid w:val="00F53653"/>
    <w:rsid w:val="00F536C7"/>
    <w:rsid w:val="00F548E2"/>
    <w:rsid w:val="00F556A2"/>
    <w:rsid w:val="00F56879"/>
    <w:rsid w:val="00F61A25"/>
    <w:rsid w:val="00F61DFE"/>
    <w:rsid w:val="00F63BFB"/>
    <w:rsid w:val="00F6543D"/>
    <w:rsid w:val="00F65EEB"/>
    <w:rsid w:val="00F66177"/>
    <w:rsid w:val="00F71BB2"/>
    <w:rsid w:val="00F81688"/>
    <w:rsid w:val="00F81938"/>
    <w:rsid w:val="00F83F30"/>
    <w:rsid w:val="00F847AF"/>
    <w:rsid w:val="00F8798D"/>
    <w:rsid w:val="00F94549"/>
    <w:rsid w:val="00F94672"/>
    <w:rsid w:val="00F954C7"/>
    <w:rsid w:val="00F97CCC"/>
    <w:rsid w:val="00FA35CC"/>
    <w:rsid w:val="00FA5BE4"/>
    <w:rsid w:val="00FB0B46"/>
    <w:rsid w:val="00FB1B9C"/>
    <w:rsid w:val="00FB2865"/>
    <w:rsid w:val="00FB359B"/>
    <w:rsid w:val="00FB3C98"/>
    <w:rsid w:val="00FB4C2A"/>
    <w:rsid w:val="00FB51A5"/>
    <w:rsid w:val="00FB5FE8"/>
    <w:rsid w:val="00FB73BB"/>
    <w:rsid w:val="00FC01B3"/>
    <w:rsid w:val="00FC36C0"/>
    <w:rsid w:val="00FC3E34"/>
    <w:rsid w:val="00FC7CFF"/>
    <w:rsid w:val="00FD1F3D"/>
    <w:rsid w:val="00FD26B0"/>
    <w:rsid w:val="00FD5A6F"/>
    <w:rsid w:val="00FD63C1"/>
    <w:rsid w:val="00FD72BB"/>
    <w:rsid w:val="00FE00D9"/>
    <w:rsid w:val="00FE2896"/>
    <w:rsid w:val="00FE4A17"/>
    <w:rsid w:val="00FE4AF0"/>
    <w:rsid w:val="00FE56F8"/>
    <w:rsid w:val="00FE59B3"/>
    <w:rsid w:val="00FE65D6"/>
    <w:rsid w:val="00FE70FC"/>
    <w:rsid w:val="00FF52D6"/>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76EE03"/>
  <w15:docId w15:val="{E6FBAE3B-E0FE-3D48-8B46-A62E40E26C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WenQuanYi Micro Hei" w:hAnsi="Liberation Serif" w:cs="Lohit Devanagari"/>
        <w:szCs w:val="24"/>
        <w:lang w:val="en-US" w:eastAsia="zh-CN" w:bidi="hi-IN"/>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01741"/>
    <w:rPr>
      <w:rFonts w:ascii="Times New Roman" w:eastAsia="Times New Roman" w:hAnsi="Times New Roman" w:cs="Times New Roman"/>
      <w:sz w:val="24"/>
      <w:lang w:val="fr-FR" w:eastAsia="fr-FR" w:bidi="ar-SA"/>
    </w:rPr>
  </w:style>
  <w:style w:type="paragraph" w:styleId="Titre1">
    <w:name w:val="heading 1"/>
    <w:basedOn w:val="Normal"/>
    <w:next w:val="Normal"/>
    <w:link w:val="Titre1Car"/>
    <w:uiPriority w:val="9"/>
    <w:qFormat/>
    <w:rsid w:val="00B452DD"/>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Titre2">
    <w:name w:val="heading 2"/>
    <w:basedOn w:val="Normal"/>
    <w:qFormat/>
    <w:rsid w:val="00BA76C6"/>
    <w:pPr>
      <w:keepNext/>
      <w:keepLines/>
      <w:spacing w:before="40"/>
      <w:ind w:left="708"/>
      <w:outlineLvl w:val="1"/>
    </w:pPr>
    <w:rPr>
      <w:rFonts w:ascii="Liberation Serif" w:eastAsiaTheme="majorEastAsia" w:hAnsi="Liberation Serif" w:cstheme="majorBidi"/>
      <w:b/>
      <w:color w:val="000000" w:themeColor="text1"/>
      <w:sz w:val="28"/>
      <w:szCs w:val="26"/>
      <w:lang w:val="en-US" w:eastAsia="zh-CN" w:bidi="hi-IN"/>
    </w:rPr>
  </w:style>
  <w:style w:type="paragraph" w:styleId="Titre3">
    <w:name w:val="heading 3"/>
    <w:basedOn w:val="Normal"/>
    <w:qFormat/>
    <w:rsid w:val="00BA76C6"/>
    <w:pPr>
      <w:keepNext/>
      <w:keepLines/>
      <w:spacing w:before="40"/>
      <w:outlineLvl w:val="2"/>
    </w:pPr>
    <w:rPr>
      <w:rFonts w:ascii="Liberation Serif" w:eastAsiaTheme="majorEastAsia" w:hAnsi="Liberation Serif" w:cstheme="majorBidi"/>
      <w:b/>
      <w:color w:val="000000" w:themeColor="text1"/>
      <w:sz w:val="26"/>
      <w:lang w:val="en-US" w:eastAsia="zh-CN" w:bidi="hi-I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lid-translation">
    <w:name w:val="tlid-translation"/>
    <w:basedOn w:val="Policepardfaut"/>
    <w:qFormat/>
    <w:rsid w:val="00BA76C6"/>
  </w:style>
  <w:style w:type="paragraph" w:customStyle="1" w:styleId="Heading">
    <w:name w:val="Heading"/>
    <w:basedOn w:val="Normal"/>
    <w:next w:val="Corpsdetexte"/>
    <w:qFormat/>
    <w:rsid w:val="00BA76C6"/>
    <w:pPr>
      <w:keepNext/>
      <w:spacing w:before="240" w:after="120"/>
    </w:pPr>
    <w:rPr>
      <w:rFonts w:ascii="Liberation Sans" w:eastAsia="WenQuanYi Micro Hei" w:hAnsi="Liberation Sans" w:cs="Lohit Devanagari"/>
      <w:color w:val="00000A"/>
      <w:sz w:val="28"/>
      <w:szCs w:val="28"/>
      <w:lang w:val="en-US" w:eastAsia="zh-CN" w:bidi="hi-IN"/>
    </w:rPr>
  </w:style>
  <w:style w:type="paragraph" w:styleId="Corpsdetexte">
    <w:name w:val="Body Text"/>
    <w:basedOn w:val="Normal"/>
    <w:rsid w:val="00BA76C6"/>
    <w:pPr>
      <w:spacing w:after="140" w:line="288" w:lineRule="auto"/>
    </w:pPr>
    <w:rPr>
      <w:rFonts w:ascii="Liberation Serif" w:eastAsia="WenQuanYi Micro Hei" w:hAnsi="Liberation Serif" w:cs="Lohit Devanagari"/>
      <w:color w:val="00000A"/>
      <w:lang w:val="en-US" w:eastAsia="zh-CN" w:bidi="hi-IN"/>
    </w:rPr>
  </w:style>
  <w:style w:type="paragraph" w:styleId="Liste">
    <w:name w:val="List"/>
    <w:basedOn w:val="Corpsdetexte"/>
    <w:rsid w:val="00BA76C6"/>
  </w:style>
  <w:style w:type="paragraph" w:styleId="Lgende">
    <w:name w:val="caption"/>
    <w:basedOn w:val="Normal"/>
    <w:qFormat/>
    <w:rsid w:val="00BA76C6"/>
    <w:pPr>
      <w:suppressLineNumbers/>
      <w:spacing w:before="120" w:after="120"/>
    </w:pPr>
    <w:rPr>
      <w:rFonts w:ascii="Liberation Serif" w:eastAsia="WenQuanYi Micro Hei" w:hAnsi="Liberation Serif" w:cs="Lohit Devanagari"/>
      <w:i/>
      <w:iCs/>
      <w:color w:val="00000A"/>
      <w:lang w:val="en-US" w:eastAsia="zh-CN" w:bidi="hi-IN"/>
    </w:rPr>
  </w:style>
  <w:style w:type="paragraph" w:customStyle="1" w:styleId="Index">
    <w:name w:val="Index"/>
    <w:basedOn w:val="Normal"/>
    <w:qFormat/>
    <w:rsid w:val="00BA76C6"/>
    <w:pPr>
      <w:suppressLineNumbers/>
    </w:pPr>
    <w:rPr>
      <w:rFonts w:ascii="Liberation Serif" w:eastAsia="WenQuanYi Micro Hei" w:hAnsi="Liberation Serif" w:cs="Lohit Devanagari"/>
      <w:color w:val="00000A"/>
      <w:lang w:val="en-US" w:eastAsia="zh-CN" w:bidi="hi-IN"/>
    </w:rPr>
  </w:style>
  <w:style w:type="paragraph" w:customStyle="1" w:styleId="Default">
    <w:name w:val="Default"/>
    <w:qFormat/>
    <w:rsid w:val="00C421B1"/>
    <w:rPr>
      <w:rFonts w:ascii="Times New Roman" w:hAnsi="Times New Roman" w:cs="Times New Roman"/>
      <w:color w:val="000000"/>
      <w:sz w:val="24"/>
      <w:lang w:val="fr-FR" w:bidi="ar-SA"/>
    </w:rPr>
  </w:style>
  <w:style w:type="character" w:styleId="Marquedecommentaire">
    <w:name w:val="annotation reference"/>
    <w:basedOn w:val="Policepardfaut"/>
    <w:uiPriority w:val="99"/>
    <w:semiHidden/>
    <w:unhideWhenUsed/>
    <w:rsid w:val="00F20B5C"/>
    <w:rPr>
      <w:sz w:val="16"/>
      <w:szCs w:val="16"/>
    </w:rPr>
  </w:style>
  <w:style w:type="paragraph" w:styleId="Commentaire">
    <w:name w:val="annotation text"/>
    <w:basedOn w:val="Normal"/>
    <w:link w:val="CommentaireCar"/>
    <w:uiPriority w:val="99"/>
    <w:unhideWhenUsed/>
    <w:rsid w:val="00F20B5C"/>
    <w:rPr>
      <w:rFonts w:ascii="Liberation Serif" w:eastAsia="WenQuanYi Micro Hei" w:hAnsi="Liberation Serif" w:cs="Mangal"/>
      <w:color w:val="00000A"/>
      <w:sz w:val="20"/>
      <w:szCs w:val="18"/>
      <w:lang w:val="en-US" w:eastAsia="zh-CN" w:bidi="hi-IN"/>
    </w:rPr>
  </w:style>
  <w:style w:type="character" w:customStyle="1" w:styleId="CommentaireCar">
    <w:name w:val="Commentaire Car"/>
    <w:basedOn w:val="Policepardfaut"/>
    <w:link w:val="Commentaire"/>
    <w:uiPriority w:val="99"/>
    <w:rsid w:val="00F20B5C"/>
    <w:rPr>
      <w:rFonts w:cs="Mangal"/>
      <w:color w:val="00000A"/>
      <w:szCs w:val="18"/>
    </w:rPr>
  </w:style>
  <w:style w:type="paragraph" w:styleId="Objetducommentaire">
    <w:name w:val="annotation subject"/>
    <w:basedOn w:val="Commentaire"/>
    <w:next w:val="Commentaire"/>
    <w:link w:val="ObjetducommentaireCar"/>
    <w:uiPriority w:val="99"/>
    <w:semiHidden/>
    <w:unhideWhenUsed/>
    <w:rsid w:val="00F20B5C"/>
    <w:rPr>
      <w:b/>
      <w:bCs/>
    </w:rPr>
  </w:style>
  <w:style w:type="character" w:customStyle="1" w:styleId="ObjetducommentaireCar">
    <w:name w:val="Objet du commentaire Car"/>
    <w:basedOn w:val="CommentaireCar"/>
    <w:link w:val="Objetducommentaire"/>
    <w:uiPriority w:val="99"/>
    <w:semiHidden/>
    <w:rsid w:val="00F20B5C"/>
    <w:rPr>
      <w:rFonts w:cs="Mangal"/>
      <w:b/>
      <w:bCs/>
      <w:color w:val="00000A"/>
      <w:szCs w:val="18"/>
    </w:rPr>
  </w:style>
  <w:style w:type="paragraph" w:styleId="Textedebulles">
    <w:name w:val="Balloon Text"/>
    <w:basedOn w:val="Normal"/>
    <w:link w:val="TextedebullesCar"/>
    <w:uiPriority w:val="99"/>
    <w:semiHidden/>
    <w:unhideWhenUsed/>
    <w:rsid w:val="00F20B5C"/>
    <w:rPr>
      <w:rFonts w:eastAsia="WenQuanYi Micro Hei" w:cs="Mangal"/>
      <w:color w:val="00000A"/>
      <w:sz w:val="18"/>
      <w:szCs w:val="16"/>
      <w:lang w:val="en-US" w:eastAsia="zh-CN" w:bidi="hi-IN"/>
    </w:rPr>
  </w:style>
  <w:style w:type="character" w:customStyle="1" w:styleId="TextedebullesCar">
    <w:name w:val="Texte de bulles Car"/>
    <w:basedOn w:val="Policepardfaut"/>
    <w:link w:val="Textedebulles"/>
    <w:uiPriority w:val="99"/>
    <w:semiHidden/>
    <w:rsid w:val="00F20B5C"/>
    <w:rPr>
      <w:rFonts w:ascii="Times New Roman" w:hAnsi="Times New Roman" w:cs="Mangal"/>
      <w:color w:val="00000A"/>
      <w:sz w:val="18"/>
      <w:szCs w:val="16"/>
    </w:rPr>
  </w:style>
  <w:style w:type="paragraph" w:styleId="Rvision">
    <w:name w:val="Revision"/>
    <w:hidden/>
    <w:uiPriority w:val="99"/>
    <w:semiHidden/>
    <w:rsid w:val="008F5ABA"/>
    <w:rPr>
      <w:rFonts w:ascii="Times New Roman" w:eastAsia="Times New Roman" w:hAnsi="Times New Roman" w:cs="Times New Roman"/>
      <w:sz w:val="24"/>
      <w:lang w:val="fr-FR" w:eastAsia="fr-FR" w:bidi="ar-SA"/>
    </w:rPr>
  </w:style>
  <w:style w:type="table" w:styleId="Grilledutableau">
    <w:name w:val="Table Grid"/>
    <w:basedOn w:val="TableauNormal"/>
    <w:uiPriority w:val="59"/>
    <w:rsid w:val="00C50731"/>
    <w:rPr>
      <w:rFonts w:asciiTheme="minorHAnsi" w:eastAsiaTheme="minorEastAsia" w:hAnsiTheme="minorHAnsi" w:cstheme="minorBidi"/>
      <w:sz w:val="24"/>
      <w:lang w:val="it-IT" w:eastAsia="it-IT"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graphie1">
    <w:name w:val="Bibliographie1"/>
    <w:basedOn w:val="Normal"/>
    <w:link w:val="BibliographyCar"/>
    <w:rsid w:val="00B13A55"/>
    <w:pPr>
      <w:spacing w:after="240"/>
      <w:jc w:val="both"/>
    </w:pPr>
    <w:rPr>
      <w:rFonts w:ascii="Times" w:hAnsi="Times"/>
      <w:b/>
      <w:bCs/>
      <w:sz w:val="26"/>
      <w:szCs w:val="26"/>
      <w:lang w:val="en-US"/>
    </w:rPr>
  </w:style>
  <w:style w:type="character" w:customStyle="1" w:styleId="BibliographyCar">
    <w:name w:val="Bibliography Car"/>
    <w:basedOn w:val="Policepardfaut"/>
    <w:link w:val="Bibliographie1"/>
    <w:rsid w:val="00B13A55"/>
    <w:rPr>
      <w:rFonts w:ascii="Times" w:eastAsia="Times New Roman" w:hAnsi="Times" w:cs="Times New Roman"/>
      <w:b/>
      <w:bCs/>
      <w:sz w:val="26"/>
      <w:szCs w:val="26"/>
      <w:lang w:eastAsia="fr-FR" w:bidi="ar-SA"/>
    </w:rPr>
  </w:style>
  <w:style w:type="paragraph" w:customStyle="1" w:styleId="Standard">
    <w:name w:val="Standard"/>
    <w:rsid w:val="00042A11"/>
    <w:pPr>
      <w:widowControl w:val="0"/>
      <w:tabs>
        <w:tab w:val="left" w:pos="709"/>
      </w:tabs>
      <w:suppressAutoHyphens/>
      <w:spacing w:after="200" w:line="276" w:lineRule="auto"/>
    </w:pPr>
    <w:rPr>
      <w:rFonts w:eastAsia="Droid Sans Fallback" w:cs="FreeSans"/>
      <w:sz w:val="24"/>
      <w:lang w:val="fr-FR"/>
    </w:rPr>
  </w:style>
  <w:style w:type="paragraph" w:customStyle="1" w:styleId="Bibliographie2">
    <w:name w:val="Bibliographie2"/>
    <w:basedOn w:val="Normal"/>
    <w:link w:val="BibliographyCar1"/>
    <w:rsid w:val="000F2C1A"/>
    <w:pPr>
      <w:ind w:left="720" w:hanging="720"/>
      <w:jc w:val="both"/>
    </w:pPr>
    <w:rPr>
      <w:rFonts w:ascii="Times" w:hAnsi="Times"/>
      <w:color w:val="000000" w:themeColor="text1"/>
      <w:lang w:val="en-US"/>
    </w:rPr>
  </w:style>
  <w:style w:type="character" w:customStyle="1" w:styleId="BibliographyCar1">
    <w:name w:val="Bibliography Car1"/>
    <w:basedOn w:val="Policepardfaut"/>
    <w:link w:val="Bibliographie2"/>
    <w:rsid w:val="000F2C1A"/>
    <w:rPr>
      <w:rFonts w:ascii="Times" w:eastAsia="Times New Roman" w:hAnsi="Times" w:cs="Times New Roman"/>
      <w:color w:val="000000" w:themeColor="text1"/>
      <w:sz w:val="24"/>
      <w:lang w:eastAsia="fr-FR" w:bidi="ar-SA"/>
    </w:rPr>
  </w:style>
  <w:style w:type="paragraph" w:styleId="En-tte">
    <w:name w:val="header"/>
    <w:basedOn w:val="Normal"/>
    <w:link w:val="En-tteCar"/>
    <w:uiPriority w:val="99"/>
    <w:unhideWhenUsed/>
    <w:rsid w:val="008E2E2D"/>
    <w:pPr>
      <w:tabs>
        <w:tab w:val="center" w:pos="4536"/>
        <w:tab w:val="right" w:pos="9072"/>
      </w:tabs>
    </w:pPr>
  </w:style>
  <w:style w:type="character" w:customStyle="1" w:styleId="En-tteCar">
    <w:name w:val="En-tête Car"/>
    <w:basedOn w:val="Policepardfaut"/>
    <w:link w:val="En-tte"/>
    <w:uiPriority w:val="99"/>
    <w:rsid w:val="008E2E2D"/>
    <w:rPr>
      <w:rFonts w:ascii="Times New Roman" w:eastAsia="Times New Roman" w:hAnsi="Times New Roman" w:cs="Times New Roman"/>
      <w:sz w:val="24"/>
      <w:lang w:val="fr-FR" w:eastAsia="fr-FR" w:bidi="ar-SA"/>
    </w:rPr>
  </w:style>
  <w:style w:type="paragraph" w:styleId="Pieddepage">
    <w:name w:val="footer"/>
    <w:basedOn w:val="Normal"/>
    <w:link w:val="PieddepageCar"/>
    <w:uiPriority w:val="99"/>
    <w:unhideWhenUsed/>
    <w:rsid w:val="008E2E2D"/>
    <w:pPr>
      <w:tabs>
        <w:tab w:val="center" w:pos="4536"/>
        <w:tab w:val="right" w:pos="9072"/>
      </w:tabs>
    </w:pPr>
  </w:style>
  <w:style w:type="character" w:customStyle="1" w:styleId="PieddepageCar">
    <w:name w:val="Pied de page Car"/>
    <w:basedOn w:val="Policepardfaut"/>
    <w:link w:val="Pieddepage"/>
    <w:uiPriority w:val="99"/>
    <w:rsid w:val="008E2E2D"/>
    <w:rPr>
      <w:rFonts w:ascii="Times New Roman" w:eastAsia="Times New Roman" w:hAnsi="Times New Roman" w:cs="Times New Roman"/>
      <w:sz w:val="24"/>
      <w:lang w:val="fr-FR" w:eastAsia="fr-FR" w:bidi="ar-SA"/>
    </w:rPr>
  </w:style>
  <w:style w:type="paragraph" w:styleId="Paragraphedeliste">
    <w:name w:val="List Paragraph"/>
    <w:basedOn w:val="Normal"/>
    <w:uiPriority w:val="34"/>
    <w:qFormat/>
    <w:rsid w:val="00DF46F3"/>
    <w:pPr>
      <w:ind w:left="720"/>
      <w:contextualSpacing/>
    </w:pPr>
  </w:style>
  <w:style w:type="character" w:customStyle="1" w:styleId="apple-converted-space">
    <w:name w:val="apple-converted-space"/>
    <w:basedOn w:val="Policepardfaut"/>
    <w:rsid w:val="00415AB5"/>
  </w:style>
  <w:style w:type="paragraph" w:styleId="NormalWeb">
    <w:name w:val="Normal (Web)"/>
    <w:basedOn w:val="Normal"/>
    <w:uiPriority w:val="99"/>
    <w:unhideWhenUsed/>
    <w:rsid w:val="0069250E"/>
    <w:pPr>
      <w:spacing w:before="100" w:beforeAutospacing="1" w:after="100" w:afterAutospacing="1"/>
    </w:pPr>
  </w:style>
  <w:style w:type="character" w:styleId="Numrodepage">
    <w:name w:val="page number"/>
    <w:basedOn w:val="Policepardfaut"/>
    <w:uiPriority w:val="99"/>
    <w:semiHidden/>
    <w:unhideWhenUsed/>
    <w:rsid w:val="0008273D"/>
  </w:style>
  <w:style w:type="character" w:customStyle="1" w:styleId="Titre1Car">
    <w:name w:val="Titre 1 Car"/>
    <w:basedOn w:val="Policepardfaut"/>
    <w:link w:val="Titre1"/>
    <w:uiPriority w:val="9"/>
    <w:rsid w:val="00B452DD"/>
    <w:rPr>
      <w:rFonts w:asciiTheme="majorHAnsi" w:eastAsiaTheme="majorEastAsia" w:hAnsiTheme="majorHAnsi" w:cstheme="majorBidi"/>
      <w:b/>
      <w:bCs/>
      <w:color w:val="2F5496" w:themeColor="accent1" w:themeShade="BF"/>
      <w:sz w:val="28"/>
      <w:szCs w:val="28"/>
      <w:lang w:val="fr-FR" w:eastAsia="fr-FR" w:bidi="ar-SA"/>
    </w:rPr>
  </w:style>
  <w:style w:type="character" w:styleId="Lienhypertexte">
    <w:name w:val="Hyperlink"/>
    <w:basedOn w:val="Policepardfaut"/>
    <w:uiPriority w:val="99"/>
    <w:semiHidden/>
    <w:unhideWhenUsed/>
    <w:rsid w:val="005C259F"/>
    <w:rPr>
      <w:color w:val="0000FF"/>
      <w:u w:val="single"/>
    </w:rPr>
  </w:style>
  <w:style w:type="paragraph" w:customStyle="1" w:styleId="Paragraph">
    <w:name w:val="Paragraph"/>
    <w:basedOn w:val="Normal"/>
    <w:rsid w:val="00A30EC1"/>
    <w:pPr>
      <w:spacing w:before="120"/>
      <w:ind w:firstLine="720"/>
    </w:pPr>
    <w:rPr>
      <w:lang w:val="en-US" w:eastAsia="en-US"/>
    </w:rPr>
  </w:style>
  <w:style w:type="character" w:styleId="Lienhypertextesuivivisit">
    <w:name w:val="FollowedHyperlink"/>
    <w:basedOn w:val="Policepardfaut"/>
    <w:uiPriority w:val="99"/>
    <w:semiHidden/>
    <w:unhideWhenUsed/>
    <w:rsid w:val="0019651B"/>
    <w:rPr>
      <w:color w:val="954F72" w:themeColor="followedHyperlink"/>
      <w:u w:val="single"/>
    </w:rPr>
  </w:style>
  <w:style w:type="character" w:styleId="Numrodeligne">
    <w:name w:val="line number"/>
    <w:basedOn w:val="Policepardfaut"/>
    <w:uiPriority w:val="99"/>
    <w:semiHidden/>
    <w:unhideWhenUsed/>
    <w:rsid w:val="001509F8"/>
  </w:style>
  <w:style w:type="character" w:customStyle="1" w:styleId="citation-doi">
    <w:name w:val="citation-doi"/>
    <w:basedOn w:val="Policepardfaut"/>
    <w:rsid w:val="00CF318A"/>
  </w:style>
  <w:style w:type="character" w:customStyle="1" w:styleId="period">
    <w:name w:val="period"/>
    <w:basedOn w:val="Policepardfaut"/>
    <w:rsid w:val="00CF318A"/>
  </w:style>
  <w:style w:type="character" w:customStyle="1" w:styleId="cit">
    <w:name w:val="cit"/>
    <w:basedOn w:val="Policepardfaut"/>
    <w:rsid w:val="00CF318A"/>
  </w:style>
  <w:style w:type="paragraph" w:customStyle="1" w:styleId="Bibliographie3">
    <w:name w:val="Bibliographie3"/>
    <w:basedOn w:val="Normal"/>
    <w:link w:val="BibliographyCar2"/>
    <w:rsid w:val="00AC7306"/>
    <w:pPr>
      <w:tabs>
        <w:tab w:val="left" w:pos="500"/>
      </w:tabs>
      <w:spacing w:after="240"/>
      <w:ind w:left="504" w:hanging="504"/>
      <w:jc w:val="both"/>
    </w:pPr>
    <w:rPr>
      <w:lang w:val="en-US"/>
    </w:rPr>
  </w:style>
  <w:style w:type="character" w:customStyle="1" w:styleId="BibliographyCar2">
    <w:name w:val="Bibliography Car2"/>
    <w:basedOn w:val="Policepardfaut"/>
    <w:link w:val="Bibliographie3"/>
    <w:rsid w:val="00AC7306"/>
    <w:rPr>
      <w:rFonts w:ascii="Times New Roman" w:eastAsia="Times New Roman" w:hAnsi="Times New Roman" w:cs="Times New Roman"/>
      <w:sz w:val="24"/>
      <w:lang w:eastAsia="fr-FR" w:bidi="ar-SA"/>
    </w:rPr>
  </w:style>
  <w:style w:type="character" w:styleId="Textedelespacerserv">
    <w:name w:val="Placeholder Text"/>
    <w:basedOn w:val="Policepardfaut"/>
    <w:uiPriority w:val="99"/>
    <w:semiHidden/>
    <w:rsid w:val="002B179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507375">
      <w:bodyDiv w:val="1"/>
      <w:marLeft w:val="0"/>
      <w:marRight w:val="0"/>
      <w:marTop w:val="0"/>
      <w:marBottom w:val="0"/>
      <w:divBdr>
        <w:top w:val="none" w:sz="0" w:space="0" w:color="auto"/>
        <w:left w:val="none" w:sz="0" w:space="0" w:color="auto"/>
        <w:bottom w:val="none" w:sz="0" w:space="0" w:color="auto"/>
        <w:right w:val="none" w:sz="0" w:space="0" w:color="auto"/>
      </w:divBdr>
    </w:div>
    <w:div w:id="132606442">
      <w:bodyDiv w:val="1"/>
      <w:marLeft w:val="0"/>
      <w:marRight w:val="0"/>
      <w:marTop w:val="0"/>
      <w:marBottom w:val="0"/>
      <w:divBdr>
        <w:top w:val="none" w:sz="0" w:space="0" w:color="auto"/>
        <w:left w:val="none" w:sz="0" w:space="0" w:color="auto"/>
        <w:bottom w:val="none" w:sz="0" w:space="0" w:color="auto"/>
        <w:right w:val="none" w:sz="0" w:space="0" w:color="auto"/>
      </w:divBdr>
      <w:divsChild>
        <w:div w:id="1780375876">
          <w:marLeft w:val="0"/>
          <w:marRight w:val="0"/>
          <w:marTop w:val="0"/>
          <w:marBottom w:val="0"/>
          <w:divBdr>
            <w:top w:val="none" w:sz="0" w:space="0" w:color="auto"/>
            <w:left w:val="none" w:sz="0" w:space="0" w:color="auto"/>
            <w:bottom w:val="none" w:sz="0" w:space="0" w:color="auto"/>
            <w:right w:val="none" w:sz="0" w:space="0" w:color="auto"/>
          </w:divBdr>
          <w:divsChild>
            <w:div w:id="1631209596">
              <w:marLeft w:val="0"/>
              <w:marRight w:val="0"/>
              <w:marTop w:val="0"/>
              <w:marBottom w:val="0"/>
              <w:divBdr>
                <w:top w:val="none" w:sz="0" w:space="0" w:color="auto"/>
                <w:left w:val="none" w:sz="0" w:space="0" w:color="auto"/>
                <w:bottom w:val="none" w:sz="0" w:space="0" w:color="auto"/>
                <w:right w:val="none" w:sz="0" w:space="0" w:color="auto"/>
              </w:divBdr>
              <w:divsChild>
                <w:div w:id="1315527645">
                  <w:marLeft w:val="0"/>
                  <w:marRight w:val="0"/>
                  <w:marTop w:val="0"/>
                  <w:marBottom w:val="0"/>
                  <w:divBdr>
                    <w:top w:val="none" w:sz="0" w:space="0" w:color="auto"/>
                    <w:left w:val="none" w:sz="0" w:space="0" w:color="auto"/>
                    <w:bottom w:val="none" w:sz="0" w:space="0" w:color="auto"/>
                    <w:right w:val="none" w:sz="0" w:space="0" w:color="auto"/>
                  </w:divBdr>
                  <w:divsChild>
                    <w:div w:id="29788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688223">
      <w:bodyDiv w:val="1"/>
      <w:marLeft w:val="0"/>
      <w:marRight w:val="0"/>
      <w:marTop w:val="0"/>
      <w:marBottom w:val="0"/>
      <w:divBdr>
        <w:top w:val="none" w:sz="0" w:space="0" w:color="auto"/>
        <w:left w:val="none" w:sz="0" w:space="0" w:color="auto"/>
        <w:bottom w:val="none" w:sz="0" w:space="0" w:color="auto"/>
        <w:right w:val="none" w:sz="0" w:space="0" w:color="auto"/>
      </w:divBdr>
      <w:divsChild>
        <w:div w:id="481897409">
          <w:marLeft w:val="0"/>
          <w:marRight w:val="0"/>
          <w:marTop w:val="0"/>
          <w:marBottom w:val="0"/>
          <w:divBdr>
            <w:top w:val="none" w:sz="0" w:space="0" w:color="auto"/>
            <w:left w:val="none" w:sz="0" w:space="0" w:color="auto"/>
            <w:bottom w:val="none" w:sz="0" w:space="0" w:color="auto"/>
            <w:right w:val="none" w:sz="0" w:space="0" w:color="auto"/>
          </w:divBdr>
          <w:divsChild>
            <w:div w:id="1462109021">
              <w:marLeft w:val="0"/>
              <w:marRight w:val="0"/>
              <w:marTop w:val="0"/>
              <w:marBottom w:val="0"/>
              <w:divBdr>
                <w:top w:val="none" w:sz="0" w:space="0" w:color="auto"/>
                <w:left w:val="none" w:sz="0" w:space="0" w:color="auto"/>
                <w:bottom w:val="none" w:sz="0" w:space="0" w:color="auto"/>
                <w:right w:val="none" w:sz="0" w:space="0" w:color="auto"/>
              </w:divBdr>
              <w:divsChild>
                <w:div w:id="172159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374851">
      <w:bodyDiv w:val="1"/>
      <w:marLeft w:val="0"/>
      <w:marRight w:val="0"/>
      <w:marTop w:val="0"/>
      <w:marBottom w:val="0"/>
      <w:divBdr>
        <w:top w:val="none" w:sz="0" w:space="0" w:color="auto"/>
        <w:left w:val="none" w:sz="0" w:space="0" w:color="auto"/>
        <w:bottom w:val="none" w:sz="0" w:space="0" w:color="auto"/>
        <w:right w:val="none" w:sz="0" w:space="0" w:color="auto"/>
      </w:divBdr>
    </w:div>
    <w:div w:id="367343404">
      <w:bodyDiv w:val="1"/>
      <w:marLeft w:val="0"/>
      <w:marRight w:val="0"/>
      <w:marTop w:val="0"/>
      <w:marBottom w:val="0"/>
      <w:divBdr>
        <w:top w:val="none" w:sz="0" w:space="0" w:color="auto"/>
        <w:left w:val="none" w:sz="0" w:space="0" w:color="auto"/>
        <w:bottom w:val="none" w:sz="0" w:space="0" w:color="auto"/>
        <w:right w:val="none" w:sz="0" w:space="0" w:color="auto"/>
      </w:divBdr>
    </w:div>
    <w:div w:id="444615945">
      <w:bodyDiv w:val="1"/>
      <w:marLeft w:val="0"/>
      <w:marRight w:val="0"/>
      <w:marTop w:val="0"/>
      <w:marBottom w:val="0"/>
      <w:divBdr>
        <w:top w:val="none" w:sz="0" w:space="0" w:color="auto"/>
        <w:left w:val="none" w:sz="0" w:space="0" w:color="auto"/>
        <w:bottom w:val="none" w:sz="0" w:space="0" w:color="auto"/>
        <w:right w:val="none" w:sz="0" w:space="0" w:color="auto"/>
      </w:divBdr>
      <w:divsChild>
        <w:div w:id="2114326229">
          <w:marLeft w:val="0"/>
          <w:marRight w:val="0"/>
          <w:marTop w:val="0"/>
          <w:marBottom w:val="0"/>
          <w:divBdr>
            <w:top w:val="none" w:sz="0" w:space="0" w:color="auto"/>
            <w:left w:val="none" w:sz="0" w:space="0" w:color="auto"/>
            <w:bottom w:val="none" w:sz="0" w:space="0" w:color="auto"/>
            <w:right w:val="none" w:sz="0" w:space="0" w:color="auto"/>
          </w:divBdr>
        </w:div>
      </w:divsChild>
    </w:div>
    <w:div w:id="456875103">
      <w:bodyDiv w:val="1"/>
      <w:marLeft w:val="0"/>
      <w:marRight w:val="0"/>
      <w:marTop w:val="0"/>
      <w:marBottom w:val="0"/>
      <w:divBdr>
        <w:top w:val="none" w:sz="0" w:space="0" w:color="auto"/>
        <w:left w:val="none" w:sz="0" w:space="0" w:color="auto"/>
        <w:bottom w:val="none" w:sz="0" w:space="0" w:color="auto"/>
        <w:right w:val="none" w:sz="0" w:space="0" w:color="auto"/>
      </w:divBdr>
      <w:divsChild>
        <w:div w:id="561722439">
          <w:marLeft w:val="0"/>
          <w:marRight w:val="0"/>
          <w:marTop w:val="0"/>
          <w:marBottom w:val="0"/>
          <w:divBdr>
            <w:top w:val="none" w:sz="0" w:space="0" w:color="auto"/>
            <w:left w:val="none" w:sz="0" w:space="0" w:color="auto"/>
            <w:bottom w:val="none" w:sz="0" w:space="0" w:color="auto"/>
            <w:right w:val="none" w:sz="0" w:space="0" w:color="auto"/>
          </w:divBdr>
          <w:divsChild>
            <w:div w:id="1850173718">
              <w:marLeft w:val="0"/>
              <w:marRight w:val="0"/>
              <w:marTop w:val="0"/>
              <w:marBottom w:val="0"/>
              <w:divBdr>
                <w:top w:val="none" w:sz="0" w:space="0" w:color="auto"/>
                <w:left w:val="none" w:sz="0" w:space="0" w:color="auto"/>
                <w:bottom w:val="none" w:sz="0" w:space="0" w:color="auto"/>
                <w:right w:val="none" w:sz="0" w:space="0" w:color="auto"/>
              </w:divBdr>
              <w:divsChild>
                <w:div w:id="17931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114276">
      <w:bodyDiv w:val="1"/>
      <w:marLeft w:val="0"/>
      <w:marRight w:val="0"/>
      <w:marTop w:val="0"/>
      <w:marBottom w:val="0"/>
      <w:divBdr>
        <w:top w:val="none" w:sz="0" w:space="0" w:color="auto"/>
        <w:left w:val="none" w:sz="0" w:space="0" w:color="auto"/>
        <w:bottom w:val="none" w:sz="0" w:space="0" w:color="auto"/>
        <w:right w:val="none" w:sz="0" w:space="0" w:color="auto"/>
      </w:divBdr>
    </w:div>
    <w:div w:id="462313484">
      <w:bodyDiv w:val="1"/>
      <w:marLeft w:val="0"/>
      <w:marRight w:val="0"/>
      <w:marTop w:val="0"/>
      <w:marBottom w:val="0"/>
      <w:divBdr>
        <w:top w:val="none" w:sz="0" w:space="0" w:color="auto"/>
        <w:left w:val="none" w:sz="0" w:space="0" w:color="auto"/>
        <w:bottom w:val="none" w:sz="0" w:space="0" w:color="auto"/>
        <w:right w:val="none" w:sz="0" w:space="0" w:color="auto"/>
      </w:divBdr>
    </w:div>
    <w:div w:id="531039821">
      <w:bodyDiv w:val="1"/>
      <w:marLeft w:val="0"/>
      <w:marRight w:val="0"/>
      <w:marTop w:val="0"/>
      <w:marBottom w:val="0"/>
      <w:divBdr>
        <w:top w:val="none" w:sz="0" w:space="0" w:color="auto"/>
        <w:left w:val="none" w:sz="0" w:space="0" w:color="auto"/>
        <w:bottom w:val="none" w:sz="0" w:space="0" w:color="auto"/>
        <w:right w:val="none" w:sz="0" w:space="0" w:color="auto"/>
      </w:divBdr>
      <w:divsChild>
        <w:div w:id="1342583117">
          <w:marLeft w:val="0"/>
          <w:marRight w:val="0"/>
          <w:marTop w:val="0"/>
          <w:marBottom w:val="0"/>
          <w:divBdr>
            <w:top w:val="none" w:sz="0" w:space="0" w:color="auto"/>
            <w:left w:val="none" w:sz="0" w:space="0" w:color="auto"/>
            <w:bottom w:val="none" w:sz="0" w:space="0" w:color="auto"/>
            <w:right w:val="none" w:sz="0" w:space="0" w:color="auto"/>
          </w:divBdr>
        </w:div>
        <w:div w:id="2042315972">
          <w:marLeft w:val="0"/>
          <w:marRight w:val="0"/>
          <w:marTop w:val="0"/>
          <w:marBottom w:val="0"/>
          <w:divBdr>
            <w:top w:val="none" w:sz="0" w:space="0" w:color="auto"/>
            <w:left w:val="none" w:sz="0" w:space="0" w:color="auto"/>
            <w:bottom w:val="none" w:sz="0" w:space="0" w:color="auto"/>
            <w:right w:val="none" w:sz="0" w:space="0" w:color="auto"/>
          </w:divBdr>
        </w:div>
      </w:divsChild>
    </w:div>
    <w:div w:id="551111652">
      <w:bodyDiv w:val="1"/>
      <w:marLeft w:val="0"/>
      <w:marRight w:val="0"/>
      <w:marTop w:val="0"/>
      <w:marBottom w:val="0"/>
      <w:divBdr>
        <w:top w:val="none" w:sz="0" w:space="0" w:color="auto"/>
        <w:left w:val="none" w:sz="0" w:space="0" w:color="auto"/>
        <w:bottom w:val="none" w:sz="0" w:space="0" w:color="auto"/>
        <w:right w:val="none" w:sz="0" w:space="0" w:color="auto"/>
      </w:divBdr>
    </w:div>
    <w:div w:id="648438578">
      <w:bodyDiv w:val="1"/>
      <w:marLeft w:val="0"/>
      <w:marRight w:val="0"/>
      <w:marTop w:val="0"/>
      <w:marBottom w:val="0"/>
      <w:divBdr>
        <w:top w:val="none" w:sz="0" w:space="0" w:color="auto"/>
        <w:left w:val="none" w:sz="0" w:space="0" w:color="auto"/>
        <w:bottom w:val="none" w:sz="0" w:space="0" w:color="auto"/>
        <w:right w:val="none" w:sz="0" w:space="0" w:color="auto"/>
      </w:divBdr>
      <w:divsChild>
        <w:div w:id="1912351935">
          <w:marLeft w:val="0"/>
          <w:marRight w:val="0"/>
          <w:marTop w:val="0"/>
          <w:marBottom w:val="0"/>
          <w:divBdr>
            <w:top w:val="none" w:sz="0" w:space="0" w:color="auto"/>
            <w:left w:val="none" w:sz="0" w:space="0" w:color="auto"/>
            <w:bottom w:val="none" w:sz="0" w:space="0" w:color="auto"/>
            <w:right w:val="none" w:sz="0" w:space="0" w:color="auto"/>
          </w:divBdr>
          <w:divsChild>
            <w:div w:id="1241022165">
              <w:marLeft w:val="0"/>
              <w:marRight w:val="0"/>
              <w:marTop w:val="0"/>
              <w:marBottom w:val="0"/>
              <w:divBdr>
                <w:top w:val="none" w:sz="0" w:space="0" w:color="auto"/>
                <w:left w:val="none" w:sz="0" w:space="0" w:color="auto"/>
                <w:bottom w:val="none" w:sz="0" w:space="0" w:color="auto"/>
                <w:right w:val="none" w:sz="0" w:space="0" w:color="auto"/>
              </w:divBdr>
              <w:divsChild>
                <w:div w:id="168382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672575">
      <w:bodyDiv w:val="1"/>
      <w:marLeft w:val="0"/>
      <w:marRight w:val="0"/>
      <w:marTop w:val="0"/>
      <w:marBottom w:val="0"/>
      <w:divBdr>
        <w:top w:val="none" w:sz="0" w:space="0" w:color="auto"/>
        <w:left w:val="none" w:sz="0" w:space="0" w:color="auto"/>
        <w:bottom w:val="none" w:sz="0" w:space="0" w:color="auto"/>
        <w:right w:val="none" w:sz="0" w:space="0" w:color="auto"/>
      </w:divBdr>
    </w:div>
    <w:div w:id="730158640">
      <w:bodyDiv w:val="1"/>
      <w:marLeft w:val="0"/>
      <w:marRight w:val="0"/>
      <w:marTop w:val="0"/>
      <w:marBottom w:val="0"/>
      <w:divBdr>
        <w:top w:val="none" w:sz="0" w:space="0" w:color="auto"/>
        <w:left w:val="none" w:sz="0" w:space="0" w:color="auto"/>
        <w:bottom w:val="none" w:sz="0" w:space="0" w:color="auto"/>
        <w:right w:val="none" w:sz="0" w:space="0" w:color="auto"/>
      </w:divBdr>
      <w:divsChild>
        <w:div w:id="1429160999">
          <w:marLeft w:val="0"/>
          <w:marRight w:val="0"/>
          <w:marTop w:val="0"/>
          <w:marBottom w:val="0"/>
          <w:divBdr>
            <w:top w:val="none" w:sz="0" w:space="0" w:color="auto"/>
            <w:left w:val="none" w:sz="0" w:space="0" w:color="auto"/>
            <w:bottom w:val="none" w:sz="0" w:space="0" w:color="auto"/>
            <w:right w:val="none" w:sz="0" w:space="0" w:color="auto"/>
          </w:divBdr>
        </w:div>
      </w:divsChild>
    </w:div>
    <w:div w:id="794832338">
      <w:bodyDiv w:val="1"/>
      <w:marLeft w:val="0"/>
      <w:marRight w:val="0"/>
      <w:marTop w:val="0"/>
      <w:marBottom w:val="0"/>
      <w:divBdr>
        <w:top w:val="none" w:sz="0" w:space="0" w:color="auto"/>
        <w:left w:val="none" w:sz="0" w:space="0" w:color="auto"/>
        <w:bottom w:val="none" w:sz="0" w:space="0" w:color="auto"/>
        <w:right w:val="none" w:sz="0" w:space="0" w:color="auto"/>
      </w:divBdr>
    </w:div>
    <w:div w:id="798718850">
      <w:bodyDiv w:val="1"/>
      <w:marLeft w:val="0"/>
      <w:marRight w:val="0"/>
      <w:marTop w:val="0"/>
      <w:marBottom w:val="0"/>
      <w:divBdr>
        <w:top w:val="none" w:sz="0" w:space="0" w:color="auto"/>
        <w:left w:val="none" w:sz="0" w:space="0" w:color="auto"/>
        <w:bottom w:val="none" w:sz="0" w:space="0" w:color="auto"/>
        <w:right w:val="none" w:sz="0" w:space="0" w:color="auto"/>
      </w:divBdr>
    </w:div>
    <w:div w:id="1154377739">
      <w:bodyDiv w:val="1"/>
      <w:marLeft w:val="0"/>
      <w:marRight w:val="0"/>
      <w:marTop w:val="0"/>
      <w:marBottom w:val="0"/>
      <w:divBdr>
        <w:top w:val="none" w:sz="0" w:space="0" w:color="auto"/>
        <w:left w:val="none" w:sz="0" w:space="0" w:color="auto"/>
        <w:bottom w:val="none" w:sz="0" w:space="0" w:color="auto"/>
        <w:right w:val="none" w:sz="0" w:space="0" w:color="auto"/>
      </w:divBdr>
      <w:divsChild>
        <w:div w:id="1861041298">
          <w:marLeft w:val="0"/>
          <w:marRight w:val="0"/>
          <w:marTop w:val="0"/>
          <w:marBottom w:val="0"/>
          <w:divBdr>
            <w:top w:val="none" w:sz="0" w:space="0" w:color="auto"/>
            <w:left w:val="none" w:sz="0" w:space="0" w:color="auto"/>
            <w:bottom w:val="none" w:sz="0" w:space="0" w:color="auto"/>
            <w:right w:val="none" w:sz="0" w:space="0" w:color="auto"/>
          </w:divBdr>
          <w:divsChild>
            <w:div w:id="151264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681854">
      <w:bodyDiv w:val="1"/>
      <w:marLeft w:val="0"/>
      <w:marRight w:val="0"/>
      <w:marTop w:val="0"/>
      <w:marBottom w:val="0"/>
      <w:divBdr>
        <w:top w:val="none" w:sz="0" w:space="0" w:color="auto"/>
        <w:left w:val="none" w:sz="0" w:space="0" w:color="auto"/>
        <w:bottom w:val="none" w:sz="0" w:space="0" w:color="auto"/>
        <w:right w:val="none" w:sz="0" w:space="0" w:color="auto"/>
      </w:divBdr>
    </w:div>
    <w:div w:id="1196115594">
      <w:bodyDiv w:val="1"/>
      <w:marLeft w:val="0"/>
      <w:marRight w:val="0"/>
      <w:marTop w:val="0"/>
      <w:marBottom w:val="0"/>
      <w:divBdr>
        <w:top w:val="none" w:sz="0" w:space="0" w:color="auto"/>
        <w:left w:val="none" w:sz="0" w:space="0" w:color="auto"/>
        <w:bottom w:val="none" w:sz="0" w:space="0" w:color="auto"/>
        <w:right w:val="none" w:sz="0" w:space="0" w:color="auto"/>
      </w:divBdr>
      <w:divsChild>
        <w:div w:id="1649433868">
          <w:marLeft w:val="0"/>
          <w:marRight w:val="0"/>
          <w:marTop w:val="0"/>
          <w:marBottom w:val="0"/>
          <w:divBdr>
            <w:top w:val="none" w:sz="0" w:space="0" w:color="auto"/>
            <w:left w:val="none" w:sz="0" w:space="0" w:color="auto"/>
            <w:bottom w:val="none" w:sz="0" w:space="0" w:color="auto"/>
            <w:right w:val="none" w:sz="0" w:space="0" w:color="auto"/>
          </w:divBdr>
          <w:divsChild>
            <w:div w:id="1341397647">
              <w:marLeft w:val="0"/>
              <w:marRight w:val="0"/>
              <w:marTop w:val="0"/>
              <w:marBottom w:val="0"/>
              <w:divBdr>
                <w:top w:val="none" w:sz="0" w:space="0" w:color="auto"/>
                <w:left w:val="none" w:sz="0" w:space="0" w:color="auto"/>
                <w:bottom w:val="none" w:sz="0" w:space="0" w:color="auto"/>
                <w:right w:val="none" w:sz="0" w:space="0" w:color="auto"/>
              </w:divBdr>
              <w:divsChild>
                <w:div w:id="203865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883664">
      <w:bodyDiv w:val="1"/>
      <w:marLeft w:val="0"/>
      <w:marRight w:val="0"/>
      <w:marTop w:val="0"/>
      <w:marBottom w:val="0"/>
      <w:divBdr>
        <w:top w:val="none" w:sz="0" w:space="0" w:color="auto"/>
        <w:left w:val="none" w:sz="0" w:space="0" w:color="auto"/>
        <w:bottom w:val="none" w:sz="0" w:space="0" w:color="auto"/>
        <w:right w:val="none" w:sz="0" w:space="0" w:color="auto"/>
      </w:divBdr>
    </w:div>
    <w:div w:id="1241528403">
      <w:bodyDiv w:val="1"/>
      <w:marLeft w:val="0"/>
      <w:marRight w:val="0"/>
      <w:marTop w:val="0"/>
      <w:marBottom w:val="0"/>
      <w:divBdr>
        <w:top w:val="none" w:sz="0" w:space="0" w:color="auto"/>
        <w:left w:val="none" w:sz="0" w:space="0" w:color="auto"/>
        <w:bottom w:val="none" w:sz="0" w:space="0" w:color="auto"/>
        <w:right w:val="none" w:sz="0" w:space="0" w:color="auto"/>
      </w:divBdr>
    </w:div>
    <w:div w:id="1324891179">
      <w:bodyDiv w:val="1"/>
      <w:marLeft w:val="0"/>
      <w:marRight w:val="0"/>
      <w:marTop w:val="0"/>
      <w:marBottom w:val="0"/>
      <w:divBdr>
        <w:top w:val="none" w:sz="0" w:space="0" w:color="auto"/>
        <w:left w:val="none" w:sz="0" w:space="0" w:color="auto"/>
        <w:bottom w:val="none" w:sz="0" w:space="0" w:color="auto"/>
        <w:right w:val="none" w:sz="0" w:space="0" w:color="auto"/>
      </w:divBdr>
    </w:div>
    <w:div w:id="1387997725">
      <w:bodyDiv w:val="1"/>
      <w:marLeft w:val="0"/>
      <w:marRight w:val="0"/>
      <w:marTop w:val="0"/>
      <w:marBottom w:val="0"/>
      <w:divBdr>
        <w:top w:val="none" w:sz="0" w:space="0" w:color="auto"/>
        <w:left w:val="none" w:sz="0" w:space="0" w:color="auto"/>
        <w:bottom w:val="none" w:sz="0" w:space="0" w:color="auto"/>
        <w:right w:val="none" w:sz="0" w:space="0" w:color="auto"/>
      </w:divBdr>
      <w:divsChild>
        <w:div w:id="906107197">
          <w:marLeft w:val="0"/>
          <w:marRight w:val="0"/>
          <w:marTop w:val="0"/>
          <w:marBottom w:val="0"/>
          <w:divBdr>
            <w:top w:val="none" w:sz="0" w:space="0" w:color="auto"/>
            <w:left w:val="none" w:sz="0" w:space="0" w:color="auto"/>
            <w:bottom w:val="none" w:sz="0" w:space="0" w:color="auto"/>
            <w:right w:val="none" w:sz="0" w:space="0" w:color="auto"/>
          </w:divBdr>
        </w:div>
      </w:divsChild>
    </w:div>
    <w:div w:id="1455830598">
      <w:bodyDiv w:val="1"/>
      <w:marLeft w:val="0"/>
      <w:marRight w:val="0"/>
      <w:marTop w:val="0"/>
      <w:marBottom w:val="0"/>
      <w:divBdr>
        <w:top w:val="none" w:sz="0" w:space="0" w:color="auto"/>
        <w:left w:val="none" w:sz="0" w:space="0" w:color="auto"/>
        <w:bottom w:val="none" w:sz="0" w:space="0" w:color="auto"/>
        <w:right w:val="none" w:sz="0" w:space="0" w:color="auto"/>
      </w:divBdr>
    </w:div>
    <w:div w:id="1565529009">
      <w:bodyDiv w:val="1"/>
      <w:marLeft w:val="0"/>
      <w:marRight w:val="0"/>
      <w:marTop w:val="0"/>
      <w:marBottom w:val="0"/>
      <w:divBdr>
        <w:top w:val="none" w:sz="0" w:space="0" w:color="auto"/>
        <w:left w:val="none" w:sz="0" w:space="0" w:color="auto"/>
        <w:bottom w:val="none" w:sz="0" w:space="0" w:color="auto"/>
        <w:right w:val="none" w:sz="0" w:space="0" w:color="auto"/>
      </w:divBdr>
      <w:divsChild>
        <w:div w:id="1448770488">
          <w:marLeft w:val="0"/>
          <w:marRight w:val="0"/>
          <w:marTop w:val="0"/>
          <w:marBottom w:val="0"/>
          <w:divBdr>
            <w:top w:val="none" w:sz="0" w:space="0" w:color="auto"/>
            <w:left w:val="none" w:sz="0" w:space="0" w:color="auto"/>
            <w:bottom w:val="none" w:sz="0" w:space="0" w:color="auto"/>
            <w:right w:val="none" w:sz="0" w:space="0" w:color="auto"/>
          </w:divBdr>
          <w:divsChild>
            <w:div w:id="68890162">
              <w:marLeft w:val="0"/>
              <w:marRight w:val="0"/>
              <w:marTop w:val="0"/>
              <w:marBottom w:val="0"/>
              <w:divBdr>
                <w:top w:val="none" w:sz="0" w:space="0" w:color="auto"/>
                <w:left w:val="none" w:sz="0" w:space="0" w:color="auto"/>
                <w:bottom w:val="none" w:sz="0" w:space="0" w:color="auto"/>
                <w:right w:val="none" w:sz="0" w:space="0" w:color="auto"/>
              </w:divBdr>
              <w:divsChild>
                <w:div w:id="140549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632148">
      <w:bodyDiv w:val="1"/>
      <w:marLeft w:val="0"/>
      <w:marRight w:val="0"/>
      <w:marTop w:val="0"/>
      <w:marBottom w:val="0"/>
      <w:divBdr>
        <w:top w:val="none" w:sz="0" w:space="0" w:color="auto"/>
        <w:left w:val="none" w:sz="0" w:space="0" w:color="auto"/>
        <w:bottom w:val="none" w:sz="0" w:space="0" w:color="auto"/>
        <w:right w:val="none" w:sz="0" w:space="0" w:color="auto"/>
      </w:divBdr>
    </w:div>
    <w:div w:id="1992560989">
      <w:bodyDiv w:val="1"/>
      <w:marLeft w:val="0"/>
      <w:marRight w:val="0"/>
      <w:marTop w:val="0"/>
      <w:marBottom w:val="0"/>
      <w:divBdr>
        <w:top w:val="none" w:sz="0" w:space="0" w:color="auto"/>
        <w:left w:val="none" w:sz="0" w:space="0" w:color="auto"/>
        <w:bottom w:val="none" w:sz="0" w:space="0" w:color="auto"/>
        <w:right w:val="none" w:sz="0" w:space="0" w:color="auto"/>
      </w:divBdr>
    </w:div>
    <w:div w:id="1994528643">
      <w:bodyDiv w:val="1"/>
      <w:marLeft w:val="0"/>
      <w:marRight w:val="0"/>
      <w:marTop w:val="0"/>
      <w:marBottom w:val="0"/>
      <w:divBdr>
        <w:top w:val="none" w:sz="0" w:space="0" w:color="auto"/>
        <w:left w:val="none" w:sz="0" w:space="0" w:color="auto"/>
        <w:bottom w:val="none" w:sz="0" w:space="0" w:color="auto"/>
        <w:right w:val="none" w:sz="0" w:space="0" w:color="auto"/>
      </w:divBdr>
    </w:div>
    <w:div w:id="2037003138">
      <w:bodyDiv w:val="1"/>
      <w:marLeft w:val="0"/>
      <w:marRight w:val="0"/>
      <w:marTop w:val="0"/>
      <w:marBottom w:val="0"/>
      <w:divBdr>
        <w:top w:val="none" w:sz="0" w:space="0" w:color="auto"/>
        <w:left w:val="none" w:sz="0" w:space="0" w:color="auto"/>
        <w:bottom w:val="none" w:sz="0" w:space="0" w:color="auto"/>
        <w:right w:val="none" w:sz="0" w:space="0" w:color="auto"/>
      </w:divBdr>
    </w:div>
    <w:div w:id="2075001544">
      <w:bodyDiv w:val="1"/>
      <w:marLeft w:val="0"/>
      <w:marRight w:val="0"/>
      <w:marTop w:val="0"/>
      <w:marBottom w:val="0"/>
      <w:divBdr>
        <w:top w:val="none" w:sz="0" w:space="0" w:color="auto"/>
        <w:left w:val="none" w:sz="0" w:space="0" w:color="auto"/>
        <w:bottom w:val="none" w:sz="0" w:space="0" w:color="auto"/>
        <w:right w:val="none" w:sz="0" w:space="0" w:color="auto"/>
      </w:divBdr>
    </w:div>
    <w:div w:id="2096321173">
      <w:bodyDiv w:val="1"/>
      <w:marLeft w:val="0"/>
      <w:marRight w:val="0"/>
      <w:marTop w:val="0"/>
      <w:marBottom w:val="0"/>
      <w:divBdr>
        <w:top w:val="none" w:sz="0" w:space="0" w:color="auto"/>
        <w:left w:val="none" w:sz="0" w:space="0" w:color="auto"/>
        <w:bottom w:val="none" w:sz="0" w:space="0" w:color="auto"/>
        <w:right w:val="none" w:sz="0" w:space="0" w:color="auto"/>
      </w:divBdr>
      <w:divsChild>
        <w:div w:id="19009824">
          <w:marLeft w:val="0"/>
          <w:marRight w:val="0"/>
          <w:marTop w:val="0"/>
          <w:marBottom w:val="0"/>
          <w:divBdr>
            <w:top w:val="none" w:sz="0" w:space="0" w:color="auto"/>
            <w:left w:val="none" w:sz="0" w:space="0" w:color="auto"/>
            <w:bottom w:val="none" w:sz="0" w:space="0" w:color="auto"/>
            <w:right w:val="none" w:sz="0" w:space="0" w:color="auto"/>
          </w:divBdr>
          <w:divsChild>
            <w:div w:id="1150173919">
              <w:marLeft w:val="0"/>
              <w:marRight w:val="0"/>
              <w:marTop w:val="0"/>
              <w:marBottom w:val="0"/>
              <w:divBdr>
                <w:top w:val="none" w:sz="0" w:space="0" w:color="auto"/>
                <w:left w:val="none" w:sz="0" w:space="0" w:color="auto"/>
                <w:bottom w:val="none" w:sz="0" w:space="0" w:color="auto"/>
                <w:right w:val="none" w:sz="0" w:space="0" w:color="auto"/>
              </w:divBdr>
              <w:divsChild>
                <w:div w:id="1830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s://doi.org/10.1016/j.neuroimage.2020.117425" TargetMode="External"/><Relationship Id="rId13" Type="http://schemas.openxmlformats.org/officeDocument/2006/relationships/image" Target="media/image5.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oter" Target="footer2.xml"/><Relationship Id="rId25"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86DCAC-807F-2D44-B53D-3FACB0BC4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29</Pages>
  <Words>23542</Words>
  <Characters>129484</Characters>
  <Application>Microsoft Office Word</Application>
  <DocSecurity>0</DocSecurity>
  <Lines>1079</Lines>
  <Paragraphs>305</Paragraphs>
  <ScaleCrop>false</ScaleCrop>
  <HeadingPairs>
    <vt:vector size="6" baseType="variant">
      <vt:variant>
        <vt:lpstr>Titre</vt:lpstr>
      </vt:variant>
      <vt:variant>
        <vt:i4>1</vt:i4>
      </vt:variant>
      <vt:variant>
        <vt:lpstr>Title</vt:lpstr>
      </vt:variant>
      <vt:variant>
        <vt:i4>1</vt:i4>
      </vt:variant>
      <vt:variant>
        <vt:lpstr>Titolo</vt:lpstr>
      </vt:variant>
      <vt:variant>
        <vt:i4>1</vt:i4>
      </vt:variant>
    </vt:vector>
  </HeadingPairs>
  <TitlesOfParts>
    <vt:vector size="3" baseType="lpstr">
      <vt:lpstr/>
      <vt:lpstr/>
      <vt:lpstr/>
    </vt:vector>
  </TitlesOfParts>
  <Company/>
  <LinksUpToDate>false</LinksUpToDate>
  <CharactersWithSpaces>152721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Microsoft Office</dc:creator>
  <cp:lastModifiedBy>Utilisateur Microsoft Office</cp:lastModifiedBy>
  <cp:revision>5</cp:revision>
  <dcterms:created xsi:type="dcterms:W3CDTF">2021-03-10T14:33:00Z</dcterms:created>
  <dcterms:modified xsi:type="dcterms:W3CDTF">2021-03-10T14:38:00Z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ZOTERO_PREF_1">
    <vt:lpwstr>&lt;data data-version="3" zotero-version="5.0.88"&gt;&lt;session id="yEIY31OZ"/&gt;&lt;style id="http://www.zotero.org/styles/american-medical-association" hasBibliography="1" bibliographyStyleHasBeenSet="1"/&gt;&lt;prefs&gt;&lt;pref name="fieldType" value="Field"/&gt;&lt;pref name="dont</vt:lpwstr>
  </property>
  <property fmtid="{D5CDD505-2E9C-101B-9397-08002B2CF9AE}" pid="9" name="ZOTERO_PREF_2">
    <vt:lpwstr>AskDelayCitationUpdates" value="true"/&gt;&lt;/prefs&gt;&lt;/data&gt;</vt:lpwstr>
  </property>
</Properties>
</file>